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2EA5" w14:textId="60DB51EF" w:rsidR="00505D4A" w:rsidRPr="0007113A" w:rsidRDefault="00360FAE" w:rsidP="0007113A">
      <w:pPr>
        <w:tabs>
          <w:tab w:val="left" w:pos="4678"/>
        </w:tabs>
        <w:spacing w:after="0" w:line="240" w:lineRule="auto"/>
        <w:ind w:left="11" w:right="0" w:hanging="11"/>
        <w:rPr>
          <w:b/>
          <w:sz w:val="22"/>
        </w:rPr>
      </w:pPr>
      <w:r w:rsidRPr="0007113A">
        <w:rPr>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w:t>
      </w:r>
      <w:r w:rsidR="005E59E1">
        <w:rPr>
          <w:b/>
          <w:sz w:val="22"/>
        </w:rPr>
        <w:t xml:space="preserve"> DE YUCATÁN, EMITE EL SIGUIENTE,</w:t>
      </w:r>
    </w:p>
    <w:p w14:paraId="6B535D71" w14:textId="77777777" w:rsidR="006974AC" w:rsidRPr="0007113A" w:rsidRDefault="006974AC" w:rsidP="0007113A">
      <w:pPr>
        <w:tabs>
          <w:tab w:val="left" w:pos="4678"/>
        </w:tabs>
        <w:spacing w:after="0" w:line="240" w:lineRule="auto"/>
        <w:ind w:left="11" w:right="0" w:hanging="11"/>
        <w:rPr>
          <w:b/>
          <w:sz w:val="22"/>
        </w:rPr>
      </w:pPr>
    </w:p>
    <w:p w14:paraId="1867B55B" w14:textId="77777777" w:rsidR="0007113A" w:rsidRDefault="0007113A" w:rsidP="0007113A">
      <w:pPr>
        <w:spacing w:after="0" w:line="240" w:lineRule="auto"/>
        <w:ind w:left="0"/>
        <w:jc w:val="center"/>
        <w:rPr>
          <w:b/>
          <w:sz w:val="22"/>
        </w:rPr>
      </w:pPr>
      <w:r w:rsidRPr="0007113A">
        <w:rPr>
          <w:b/>
          <w:sz w:val="22"/>
        </w:rPr>
        <w:t>DECRETO</w:t>
      </w:r>
    </w:p>
    <w:p w14:paraId="7BFAD43B" w14:textId="77777777" w:rsidR="008B170C" w:rsidRPr="0007113A" w:rsidRDefault="008B170C" w:rsidP="0007113A">
      <w:pPr>
        <w:spacing w:after="0" w:line="240" w:lineRule="auto"/>
        <w:ind w:left="0"/>
        <w:jc w:val="center"/>
        <w:rPr>
          <w:b/>
          <w:sz w:val="22"/>
        </w:rPr>
      </w:pPr>
    </w:p>
    <w:p w14:paraId="63A62117" w14:textId="77777777" w:rsidR="008B170C" w:rsidRP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Artículo primero.</w:t>
      </w:r>
      <w:r w:rsidRPr="008B170C">
        <w:rPr>
          <w:color w:val="auto"/>
          <w:sz w:val="22"/>
          <w:lang w:val="es-ES" w:eastAsia="es-ES"/>
        </w:rPr>
        <w:t xml:space="preserve"> Se autoriza al Poder Ejecutivo del Estado de Yucatán, por conducto de la Secretaría de Administración y Finanzas, para contratar en los ejercicios fiscales 2022 y 2023 uno o varios financiamientos para destinarlos a inversiones públicas productivas, de conformidad con los siguientes artículos:</w:t>
      </w:r>
    </w:p>
    <w:p w14:paraId="7750600B" w14:textId="77777777" w:rsidR="008B170C" w:rsidRPr="008B170C" w:rsidRDefault="008B170C" w:rsidP="008B170C">
      <w:pPr>
        <w:spacing w:after="0" w:line="240" w:lineRule="auto"/>
        <w:ind w:left="0" w:right="0" w:firstLine="0"/>
        <w:rPr>
          <w:b/>
          <w:color w:val="auto"/>
          <w:sz w:val="22"/>
          <w:lang w:val="es-ES" w:eastAsia="es-ES"/>
        </w:rPr>
      </w:pPr>
    </w:p>
    <w:p w14:paraId="61818D64" w14:textId="77777777" w:rsidR="008B170C" w:rsidRP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Artículo 1. Autorización</w:t>
      </w:r>
    </w:p>
    <w:p w14:paraId="421A17DC" w14:textId="77777777" w:rsidR="008B170C" w:rsidRPr="008B170C" w:rsidRDefault="008B170C" w:rsidP="008B170C">
      <w:pPr>
        <w:tabs>
          <w:tab w:val="left" w:pos="1276"/>
        </w:tabs>
        <w:spacing w:after="0" w:line="240" w:lineRule="auto"/>
        <w:ind w:left="0" w:right="0" w:firstLine="0"/>
        <w:rPr>
          <w:color w:val="auto"/>
          <w:sz w:val="22"/>
          <w:lang w:val="es-ES" w:eastAsia="es-ES"/>
        </w:rPr>
      </w:pPr>
    </w:p>
    <w:p w14:paraId="7E12274A" w14:textId="77777777" w:rsidR="008B170C" w:rsidRPr="008B170C" w:rsidRDefault="008B170C" w:rsidP="008B170C">
      <w:pPr>
        <w:tabs>
          <w:tab w:val="left" w:pos="1276"/>
        </w:tabs>
        <w:spacing w:after="0" w:line="240" w:lineRule="auto"/>
        <w:ind w:left="0" w:right="0" w:firstLine="0"/>
        <w:rPr>
          <w:color w:val="auto"/>
          <w:sz w:val="22"/>
          <w:lang w:val="es-ES" w:eastAsia="es-ES"/>
        </w:rPr>
      </w:pPr>
      <w:r w:rsidRPr="008B170C">
        <w:rPr>
          <w:color w:val="auto"/>
          <w:sz w:val="22"/>
          <w:lang w:val="es-ES" w:eastAsia="es-ES"/>
        </w:rPr>
        <w:t xml:space="preserve">Con base en el análisis de la capacidad de pago del estado de Yucatán, así como del destino del o los financiamientos, la situación de la deuda pública y de los recursos a otorgarse como fuente de pago, se autoriza al Poder Ejecutivo del Estado de Yucatán para que, a partir de la entrada en vigor de este decreto, y hasta el 31 de diciembre de 2023, contrate </w:t>
      </w:r>
      <w:r w:rsidRPr="008B170C">
        <w:rPr>
          <w:rFonts w:eastAsia="Times New Roman"/>
          <w:color w:val="auto"/>
          <w:sz w:val="22"/>
          <w:lang w:val="es-ES" w:eastAsia="es-ES"/>
        </w:rPr>
        <w:t>con una o más instituciones de crédito de nacionalidad mexicana</w:t>
      </w:r>
      <w:r w:rsidRPr="008B170C">
        <w:rPr>
          <w:color w:val="auto"/>
          <w:sz w:val="22"/>
          <w:lang w:val="es-ES" w:eastAsia="es-ES"/>
        </w:rPr>
        <w:t xml:space="preserve">, por conducto de la Secretaría de Administración y Finanzas, uno o varios financiamientos hasta por la cantidad de </w:t>
      </w:r>
      <w:r w:rsidRPr="008B170C">
        <w:rPr>
          <w:b/>
          <w:color w:val="auto"/>
          <w:sz w:val="22"/>
          <w:lang w:val="es-ES" w:eastAsia="es-ES"/>
        </w:rPr>
        <w:t>$1,735,000,000.00 (Mil setecientos treinta y cinco millones de pesos 00/100 M.N.)</w:t>
      </w:r>
      <w:r w:rsidRPr="008B170C">
        <w:rPr>
          <w:color w:val="auto"/>
          <w:sz w:val="22"/>
          <w:lang w:val="es-ES" w:eastAsia="es-ES"/>
        </w:rPr>
        <w:t xml:space="preserve">, </w:t>
      </w:r>
      <w:r w:rsidRPr="008B170C">
        <w:rPr>
          <w:rFonts w:eastAsia="Times New Roman"/>
          <w:color w:val="auto"/>
          <w:sz w:val="22"/>
          <w:lang w:val="es-ES" w:eastAsia="es-ES"/>
        </w:rPr>
        <w:t>de conformidad con</w:t>
      </w:r>
      <w:r w:rsidRPr="008B170C">
        <w:rPr>
          <w:color w:val="auto"/>
          <w:sz w:val="22"/>
          <w:lang w:val="es-ES" w:eastAsia="es-ES"/>
        </w:rPr>
        <w:t xml:space="preserve"> los artículos 5 y 10 de la Ley de Deuda Pública del Estado de Yucatán y los aplicables de la Ley de Disciplina Financiera de las Entidades Federativas y los Municipios, y su reglamentación.</w:t>
      </w:r>
    </w:p>
    <w:p w14:paraId="197A2FF5" w14:textId="77777777" w:rsidR="008B170C" w:rsidRPr="008B170C" w:rsidRDefault="008B170C" w:rsidP="008B170C">
      <w:pPr>
        <w:spacing w:after="0" w:line="240" w:lineRule="auto"/>
        <w:ind w:left="0" w:right="0" w:firstLine="0"/>
        <w:rPr>
          <w:color w:val="auto"/>
          <w:sz w:val="22"/>
          <w:lang w:val="es-ES" w:eastAsia="es-ES"/>
        </w:rPr>
      </w:pPr>
    </w:p>
    <w:p w14:paraId="7F8E7708"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En todo caso, la contratación del o los financiamientos antes mencionados, deberá realizarse en las mejores condiciones de mercado, para lo cual el Poder Ejecutivo del Estado de Yucatán, por conducto de la Secretaría de Administración y Finanzas, implementará uno o más procesos competitivos, mediante licitación pública. El o los financiamientos deberán ser contratados con la o las instituciones que representen las mejores condiciones de mercado para el estado.</w:t>
      </w:r>
    </w:p>
    <w:p w14:paraId="1779747B" w14:textId="77777777" w:rsidR="008B170C" w:rsidRPr="008B170C" w:rsidRDefault="008B170C" w:rsidP="008B170C">
      <w:pPr>
        <w:spacing w:after="0" w:line="240" w:lineRule="auto"/>
        <w:ind w:left="0" w:right="0" w:firstLine="0"/>
        <w:rPr>
          <w:b/>
          <w:color w:val="auto"/>
          <w:sz w:val="22"/>
          <w:lang w:val="es-ES" w:eastAsia="es-ES"/>
        </w:rPr>
      </w:pPr>
    </w:p>
    <w:p w14:paraId="29764EDA" w14:textId="77777777" w:rsidR="008B170C" w:rsidRP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Artículo 2. Destino</w:t>
      </w:r>
    </w:p>
    <w:p w14:paraId="3ABBD591" w14:textId="77777777" w:rsidR="008B170C" w:rsidRPr="008B170C" w:rsidRDefault="008B170C" w:rsidP="008B170C">
      <w:pPr>
        <w:spacing w:after="0" w:line="240" w:lineRule="auto"/>
        <w:ind w:left="0" w:right="0" w:firstLine="0"/>
        <w:rPr>
          <w:color w:val="auto"/>
          <w:sz w:val="22"/>
          <w:lang w:val="es-ES" w:eastAsia="es-ES"/>
        </w:rPr>
      </w:pPr>
    </w:p>
    <w:p w14:paraId="52FCE362"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El o los financiamientos que, de conformidad con este decreto, contrate el Poder Ejecutivo del Estado, por conducto de la Secretaría de Administración y Finanzas, se destinarán a inversiones público productivas, específicamente al Proyecto “</w:t>
      </w:r>
      <w:r w:rsidRPr="008B170C">
        <w:rPr>
          <w:rFonts w:eastAsia="Times New Roman"/>
          <w:color w:val="auto"/>
          <w:sz w:val="22"/>
          <w:lang w:val="es-ES" w:eastAsia="es-ES"/>
        </w:rPr>
        <w:t>IETRAM y Obras Complementarias</w:t>
      </w:r>
      <w:r w:rsidRPr="008B170C">
        <w:rPr>
          <w:color w:val="auto"/>
          <w:sz w:val="22"/>
          <w:lang w:val="es-ES" w:eastAsia="es-ES"/>
        </w:rPr>
        <w:t>”, consistente en la construcción, reconstrucción, ampliación, mantenimiento o conservación de infraestructura física vial y urbana, así como la adquisición de bienes para el equipamiento de las obras generadas o adquiridas.</w:t>
      </w:r>
    </w:p>
    <w:p w14:paraId="4AABF9EC" w14:textId="77777777" w:rsidR="008B170C" w:rsidRPr="008B170C" w:rsidRDefault="008B170C" w:rsidP="008B170C">
      <w:pPr>
        <w:spacing w:after="0" w:line="240" w:lineRule="auto"/>
        <w:ind w:left="0" w:right="0" w:firstLine="0"/>
        <w:rPr>
          <w:color w:val="auto"/>
          <w:sz w:val="22"/>
          <w:lang w:val="es-ES" w:eastAsia="es-ES"/>
        </w:rPr>
      </w:pPr>
    </w:p>
    <w:p w14:paraId="429FABF9"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Asimismo, se autoriza, con el monto del financiamiento que resulte necesario, constituir los fondos de reserva conforme a la estructura del o los créditos que sean contratados y destinar hasta el 0.15% (cero punto quince por ciento) del o los financiamientos que serán celebrados en términos de lo autorizado en el presente decreto para: cubrir los gastos y costos relacionados con la contratación del o los financiamientos, de conformidad con lo establecido en el artículo 22 de la Ley de Disciplina Financiera de las Entidades Federativas y los Municipios.</w:t>
      </w:r>
    </w:p>
    <w:p w14:paraId="0295561D" w14:textId="77777777" w:rsidR="008B170C" w:rsidRPr="008B170C" w:rsidRDefault="008B170C" w:rsidP="008B170C">
      <w:pPr>
        <w:spacing w:after="0" w:line="240" w:lineRule="auto"/>
        <w:ind w:left="0" w:right="0" w:firstLine="0"/>
        <w:rPr>
          <w:b/>
          <w:color w:val="auto"/>
          <w:sz w:val="22"/>
          <w:lang w:val="es-ES" w:eastAsia="es-ES"/>
        </w:rPr>
      </w:pPr>
    </w:p>
    <w:p w14:paraId="3615442B" w14:textId="77777777" w:rsidR="008B170C" w:rsidRP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Artículo 3. Plazo máximo de pago</w:t>
      </w:r>
    </w:p>
    <w:p w14:paraId="68E4F0D9" w14:textId="77777777" w:rsidR="008B170C" w:rsidRPr="008B170C" w:rsidRDefault="008B170C" w:rsidP="008B170C">
      <w:pPr>
        <w:spacing w:after="0" w:line="240" w:lineRule="auto"/>
        <w:ind w:left="0" w:right="0" w:firstLine="0"/>
        <w:rPr>
          <w:rFonts w:eastAsia="Times New Roman"/>
          <w:color w:val="auto"/>
          <w:sz w:val="22"/>
          <w:lang w:val="es-ES" w:eastAsia="es-ES"/>
        </w:rPr>
      </w:pPr>
    </w:p>
    <w:p w14:paraId="31F8B3C3" w14:textId="77777777" w:rsidR="008B170C" w:rsidRPr="008B170C" w:rsidRDefault="008B170C" w:rsidP="008B170C">
      <w:pPr>
        <w:spacing w:after="0" w:line="240" w:lineRule="auto"/>
        <w:ind w:left="0" w:right="0" w:firstLine="0"/>
        <w:rPr>
          <w:color w:val="auto"/>
          <w:sz w:val="22"/>
          <w:lang w:val="es-ES" w:eastAsia="es-ES"/>
        </w:rPr>
      </w:pPr>
      <w:r w:rsidRPr="008B170C">
        <w:rPr>
          <w:rFonts w:eastAsia="Times New Roman"/>
          <w:color w:val="auto"/>
          <w:sz w:val="22"/>
          <w:lang w:val="es-ES" w:eastAsia="es-ES"/>
        </w:rPr>
        <w:t>Las operaciones de crédito que se celebren al amparo del presente</w:t>
      </w:r>
      <w:r w:rsidRPr="008B170C">
        <w:rPr>
          <w:color w:val="auto"/>
          <w:sz w:val="22"/>
          <w:lang w:val="es-ES" w:eastAsia="es-ES"/>
        </w:rPr>
        <w:t xml:space="preserve"> decreto tendrán un plazo máximo de hasta 20 años o su equivalente en días, contados a partir de la suscripción de los contratos o de la primera disposición de los recursos, además se podrán pactar periodos de gracia de pago de capital que no exceda de 24 meses contados a partir de la firma de los créditos, en el entendido de que los demás plazos, así como los intereses y demás términos y condiciones serán los que se establezcan en el o los contratos que al efecto se celebren.</w:t>
      </w:r>
    </w:p>
    <w:p w14:paraId="2D150E24" w14:textId="77777777" w:rsidR="008B170C" w:rsidRPr="008B170C" w:rsidRDefault="008B170C" w:rsidP="008B170C">
      <w:pPr>
        <w:spacing w:after="0" w:line="240" w:lineRule="auto"/>
        <w:ind w:left="0" w:right="0" w:firstLine="0"/>
        <w:rPr>
          <w:color w:val="auto"/>
          <w:sz w:val="22"/>
          <w:lang w:val="es-ES" w:eastAsia="es-ES"/>
        </w:rPr>
      </w:pPr>
    </w:p>
    <w:p w14:paraId="1BCC4DCD"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Sin perjuicio de lo anterior, cada contrato de crédito mediante el cual se formalice el o los financiamientos estará vigente mientras existan obligaciones pendientes de pago a favor de los acreedores derivadas del o los financiamientos.</w:t>
      </w:r>
    </w:p>
    <w:p w14:paraId="07D17955" w14:textId="77777777" w:rsidR="008B170C" w:rsidRPr="008B170C" w:rsidRDefault="008B170C" w:rsidP="008B170C">
      <w:pPr>
        <w:spacing w:after="0" w:line="240" w:lineRule="auto"/>
        <w:ind w:left="0" w:right="0" w:firstLine="0"/>
        <w:rPr>
          <w:b/>
          <w:color w:val="auto"/>
          <w:sz w:val="22"/>
          <w:lang w:val="es-ES" w:eastAsia="es-ES"/>
        </w:rPr>
      </w:pPr>
    </w:p>
    <w:p w14:paraId="0A286CC7" w14:textId="77777777" w:rsidR="008B170C" w:rsidRP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Artículo 4. Fuente y mecanismo de pago</w:t>
      </w:r>
    </w:p>
    <w:p w14:paraId="4BE1B8ED" w14:textId="77777777" w:rsidR="008B170C" w:rsidRPr="008B170C" w:rsidRDefault="008B170C" w:rsidP="008B170C">
      <w:pPr>
        <w:spacing w:after="0" w:line="240" w:lineRule="auto"/>
        <w:ind w:left="0" w:right="0" w:firstLine="0"/>
        <w:rPr>
          <w:color w:val="auto"/>
          <w:sz w:val="22"/>
          <w:lang w:val="es-ES" w:eastAsia="es-ES"/>
        </w:rPr>
      </w:pPr>
    </w:p>
    <w:p w14:paraId="2D804380"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Se autoriza al Poder Ejecutivo del estado para que, por conducto de la Secretaría de Administración y Finanzas, afecte, irrevocablemente, como fuente de pago de las operaciones de crédito que celebre con motivo de la autorización dispuesta en este decreto, el derecho y los ingresos a percibir un porcentaje de alguno, o ambos, de los siguientes ingresos:</w:t>
      </w:r>
    </w:p>
    <w:p w14:paraId="2CAA5274" w14:textId="77777777" w:rsidR="008B170C" w:rsidRPr="008B170C" w:rsidRDefault="008B170C" w:rsidP="008B170C">
      <w:pPr>
        <w:spacing w:after="0" w:line="240" w:lineRule="auto"/>
        <w:ind w:left="0" w:right="0" w:firstLine="709"/>
        <w:rPr>
          <w:color w:val="auto"/>
          <w:sz w:val="22"/>
          <w:lang w:val="es-ES" w:eastAsia="es-ES"/>
        </w:rPr>
      </w:pPr>
    </w:p>
    <w:p w14:paraId="1D29F486" w14:textId="77777777" w:rsidR="008B170C" w:rsidRPr="008B170C" w:rsidRDefault="008B170C" w:rsidP="008B170C">
      <w:pPr>
        <w:spacing w:after="0" w:line="240" w:lineRule="auto"/>
        <w:ind w:left="0" w:right="0" w:firstLine="0"/>
        <w:rPr>
          <w:color w:val="auto"/>
          <w:sz w:val="22"/>
          <w:lang w:val="es-ES" w:eastAsia="es-ES"/>
        </w:rPr>
      </w:pPr>
      <w:r w:rsidRPr="008B170C">
        <w:rPr>
          <w:b/>
          <w:color w:val="auto"/>
          <w:sz w:val="22"/>
          <w:lang w:val="es-ES" w:eastAsia="es-ES"/>
        </w:rPr>
        <w:t>I.</w:t>
      </w:r>
      <w:r w:rsidRPr="008B170C">
        <w:rPr>
          <w:color w:val="auto"/>
          <w:sz w:val="22"/>
          <w:lang w:val="es-ES" w:eastAsia="es-ES"/>
        </w:rPr>
        <w:t xml:space="preserve"> Un porcentaje suficiente de los ingresos y derechos que le correspondan al estado de Yucatán del Fondo General de Participaciones (parte del Ramo 28).</w:t>
      </w:r>
    </w:p>
    <w:p w14:paraId="6D967DFC" w14:textId="77777777" w:rsidR="008B170C" w:rsidRPr="008B170C" w:rsidRDefault="008B170C" w:rsidP="008B170C">
      <w:pPr>
        <w:spacing w:after="0" w:line="240" w:lineRule="auto"/>
        <w:ind w:left="0" w:right="0" w:firstLine="709"/>
        <w:rPr>
          <w:color w:val="auto"/>
          <w:sz w:val="22"/>
          <w:lang w:val="es-ES" w:eastAsia="es-ES"/>
        </w:rPr>
      </w:pPr>
    </w:p>
    <w:p w14:paraId="416C2D6C" w14:textId="77777777" w:rsidR="008B170C" w:rsidRPr="008B170C" w:rsidRDefault="008B170C" w:rsidP="008B170C">
      <w:pPr>
        <w:spacing w:after="0" w:line="240" w:lineRule="auto"/>
        <w:ind w:left="0" w:right="0" w:firstLine="0"/>
        <w:rPr>
          <w:color w:val="auto"/>
          <w:sz w:val="22"/>
          <w:lang w:val="es-ES" w:eastAsia="es-ES"/>
        </w:rPr>
      </w:pPr>
      <w:r w:rsidRPr="008B170C">
        <w:rPr>
          <w:b/>
          <w:color w:val="auto"/>
          <w:sz w:val="22"/>
          <w:lang w:val="es-ES" w:eastAsia="es-ES"/>
        </w:rPr>
        <w:t>II.</w:t>
      </w:r>
      <w:r w:rsidRPr="008B170C">
        <w:rPr>
          <w:color w:val="auto"/>
          <w:sz w:val="22"/>
          <w:lang w:val="es-ES" w:eastAsia="es-ES"/>
        </w:rPr>
        <w:t xml:space="preserve"> Hasta el 25% de las aportaciones federales que le correspondan al estado del Fondo de Aportaciones para el Fortalecimiento de las Entidades Federativas (FAFEF)</w:t>
      </w:r>
      <w:r w:rsidRPr="008B170C">
        <w:rPr>
          <w:rFonts w:eastAsia="Times New Roman"/>
          <w:color w:val="auto"/>
          <w:sz w:val="22"/>
          <w:lang w:val="es-ES" w:eastAsia="es-ES"/>
        </w:rPr>
        <w:t>.</w:t>
      </w:r>
    </w:p>
    <w:p w14:paraId="6E177241" w14:textId="77777777" w:rsidR="008B170C" w:rsidRPr="008B170C" w:rsidRDefault="008B170C" w:rsidP="008B170C">
      <w:pPr>
        <w:spacing w:after="0" w:line="240" w:lineRule="auto"/>
        <w:ind w:left="0" w:right="0" w:firstLine="0"/>
        <w:rPr>
          <w:color w:val="auto"/>
          <w:sz w:val="22"/>
          <w:lang w:val="es-ES" w:eastAsia="es-ES"/>
        </w:rPr>
      </w:pPr>
    </w:p>
    <w:p w14:paraId="148728A5"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En todo caso, la afectación señalada quedará comprendida en los fondos o ingresos que reemplacen, sustituyan o complementen a los mencionados en este artículo. Dicha afectación deberá hacerse con apego en lo establecido en la Ley de Deuda Pública del Estado de Yucatán, la Ley de Coordinación Fiscal federal y la demás legislación y normativa aplicable.</w:t>
      </w:r>
    </w:p>
    <w:p w14:paraId="202EED54" w14:textId="77777777" w:rsidR="008B170C" w:rsidRPr="008B170C" w:rsidRDefault="008B170C" w:rsidP="008B170C">
      <w:pPr>
        <w:spacing w:after="0" w:line="240" w:lineRule="auto"/>
        <w:ind w:left="0" w:right="0" w:firstLine="0"/>
        <w:rPr>
          <w:color w:val="auto"/>
          <w:sz w:val="22"/>
          <w:lang w:val="es-ES" w:eastAsia="es-ES"/>
        </w:rPr>
      </w:pPr>
    </w:p>
    <w:p w14:paraId="43536983"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De igual manera, se autoriza al Poder Ejecutivo del estado para que, por conducto de la Secretaría de Administración y Finanzas, constituya o aplique, como mecanismo de pago de la o las operaciones de financiamiento que se celebren al amparo de este decreto, uno o varios fideicomisos irrevocables de administración o fuente de pago, o bien se inscriba en alguno de los fideicomisos previamente constituidos y para ello celebre los actos e instrumentos jurídicos necesarios para tal efecto.</w:t>
      </w:r>
    </w:p>
    <w:p w14:paraId="720390B1" w14:textId="77777777" w:rsidR="008B170C" w:rsidRPr="008B170C" w:rsidRDefault="008B170C" w:rsidP="008B170C">
      <w:pPr>
        <w:spacing w:after="0" w:line="240" w:lineRule="auto"/>
        <w:ind w:left="0" w:right="0" w:firstLine="0"/>
        <w:rPr>
          <w:color w:val="auto"/>
          <w:sz w:val="22"/>
          <w:lang w:val="es-ES" w:eastAsia="es-ES"/>
        </w:rPr>
      </w:pPr>
    </w:p>
    <w:p w14:paraId="0DD2C8CB"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En todo caso, y de conformidad con el artículo 7, fracción VI, de la Ley de Deuda Pública del Estado de Yucatán, los fideicomisos constituidos o modificados en términos de este decreto no serán considerados entidades paraestatales, por lo que no constituirán parte de la Administración Pública paraestatal.</w:t>
      </w:r>
    </w:p>
    <w:p w14:paraId="6A6DDC33" w14:textId="77777777" w:rsidR="008B170C" w:rsidRPr="008B170C" w:rsidRDefault="008B170C" w:rsidP="008B170C">
      <w:pPr>
        <w:spacing w:after="0" w:line="240" w:lineRule="auto"/>
        <w:ind w:left="0" w:right="0" w:firstLine="0"/>
        <w:rPr>
          <w:b/>
          <w:color w:val="auto"/>
          <w:sz w:val="22"/>
          <w:lang w:val="es-ES" w:eastAsia="es-ES"/>
        </w:rPr>
      </w:pPr>
    </w:p>
    <w:p w14:paraId="13A5832C" w14:textId="77777777" w:rsidR="008B170C" w:rsidRP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Artículo 5. Instrumentos jurídicos</w:t>
      </w:r>
    </w:p>
    <w:p w14:paraId="4FA5DF03" w14:textId="77777777" w:rsidR="008B170C" w:rsidRPr="008B170C" w:rsidRDefault="008B170C" w:rsidP="008B170C">
      <w:pPr>
        <w:spacing w:after="0" w:line="240" w:lineRule="auto"/>
        <w:ind w:left="0" w:right="0" w:firstLine="0"/>
        <w:rPr>
          <w:color w:val="auto"/>
          <w:sz w:val="22"/>
          <w:lang w:val="es-ES" w:eastAsia="es-ES"/>
        </w:rPr>
      </w:pPr>
    </w:p>
    <w:p w14:paraId="2969607D" w14:textId="77777777" w:rsidR="008B170C" w:rsidRPr="008B170C" w:rsidRDefault="008B170C" w:rsidP="008B170C">
      <w:pPr>
        <w:spacing w:after="0" w:line="240" w:lineRule="auto"/>
        <w:ind w:left="0" w:right="0" w:firstLine="0"/>
        <w:rPr>
          <w:b/>
          <w:color w:val="auto"/>
          <w:sz w:val="22"/>
          <w:lang w:val="es-ES" w:eastAsia="es-ES"/>
        </w:rPr>
      </w:pPr>
      <w:r w:rsidRPr="008B170C">
        <w:rPr>
          <w:color w:val="auto"/>
          <w:sz w:val="22"/>
          <w:lang w:val="es-ES" w:eastAsia="es-ES"/>
        </w:rPr>
        <w:t>Se autoriza al Poder Ejecutivo del estado para que, por conducto de la Secretaria de Administración y Finanzas, negocie y apruebe los términos y condiciones del o los financiamientos o créditos</w:t>
      </w:r>
      <w:r w:rsidRPr="008B170C">
        <w:rPr>
          <w:rFonts w:eastAsia="Times New Roman"/>
          <w:color w:val="auto"/>
          <w:sz w:val="22"/>
          <w:lang w:val="es-ES" w:eastAsia="es-ES"/>
        </w:rPr>
        <w:t xml:space="preserve"> </w:t>
      </w:r>
      <w:r w:rsidRPr="008B170C">
        <w:rPr>
          <w:color w:val="auto"/>
          <w:sz w:val="22"/>
          <w:lang w:val="es-ES" w:eastAsia="es-ES"/>
        </w:rPr>
        <w:t>contratados al amparo de la presente autorización, hasta por el monto total autorizado y suscriba o celebre los instrumentos jurídicos necesarios, tales como contratos de crédito, pagarés de disposición, avisos de disposición, notificaciones, instrucciones irrevocables, contratos y títulos de crédito, instrumentos derivados, contratos de garantía o contratos de fideicomiso y demás instrumentos jurídicos que se requieran para formalizar el o los financiamientos que se contraten al amparo de este decreto, con las características, montos, condiciones y términos que se negocien y consten; así como para formalizar las afectaciones necesarias para constituir la fuente de pago de dicho financiamiento o financiamientos o para el cumplimiento de las obligaciones asociadas con los instrumentos jurídicos que se celebren con base en la autorización dispuesta en este decreto.</w:t>
      </w:r>
    </w:p>
    <w:p w14:paraId="4AA7728D" w14:textId="77777777" w:rsidR="008B170C" w:rsidRPr="008B170C" w:rsidRDefault="008B170C" w:rsidP="008B170C">
      <w:pPr>
        <w:spacing w:after="0" w:line="240" w:lineRule="auto"/>
        <w:ind w:left="0" w:right="0" w:firstLine="0"/>
        <w:rPr>
          <w:b/>
          <w:color w:val="auto"/>
          <w:sz w:val="22"/>
          <w:lang w:val="es-ES" w:eastAsia="es-ES"/>
        </w:rPr>
      </w:pPr>
    </w:p>
    <w:p w14:paraId="14E26E95" w14:textId="77777777" w:rsidR="008B170C" w:rsidRP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Artículo 6. Operaciones complementarias</w:t>
      </w:r>
    </w:p>
    <w:p w14:paraId="4DB8F80F" w14:textId="77777777" w:rsidR="008B170C" w:rsidRPr="008B170C" w:rsidRDefault="008B170C" w:rsidP="008B170C">
      <w:pPr>
        <w:spacing w:after="0" w:line="240" w:lineRule="auto"/>
        <w:ind w:left="0" w:right="0" w:firstLine="0"/>
        <w:rPr>
          <w:color w:val="auto"/>
          <w:sz w:val="22"/>
          <w:lang w:val="es-ES" w:eastAsia="es-ES"/>
        </w:rPr>
      </w:pPr>
    </w:p>
    <w:p w14:paraId="4C113E8D" w14:textId="77777777" w:rsidR="008B170C" w:rsidRPr="008B170C" w:rsidRDefault="008B170C" w:rsidP="008B170C">
      <w:pPr>
        <w:spacing w:after="0" w:line="240" w:lineRule="auto"/>
        <w:ind w:left="0" w:right="0" w:firstLine="0"/>
        <w:rPr>
          <w:b/>
          <w:color w:val="auto"/>
          <w:sz w:val="22"/>
          <w:lang w:val="es-ES" w:eastAsia="es-ES"/>
        </w:rPr>
      </w:pPr>
      <w:r w:rsidRPr="008B170C">
        <w:rPr>
          <w:color w:val="auto"/>
          <w:sz w:val="22"/>
          <w:lang w:val="es-ES" w:eastAsia="es-ES"/>
        </w:rPr>
        <w:t xml:space="preserve">Se autoriza al Poder Ejecutivo del estado para que durante la vigencia del o los financiamientos o créditos contratados con fundamento en el presente decreto, por conducto de la Secretaría de Administración y Finanzas, contrate uno o más instrumentos derivados (contratos de cobertura tasa o intercambio de tasas, bajo las modalidades que se estimen más convenientes conforme a las actuales condiciones de mercado, incluyendo de manera enunciativa más no limitativa, swaps bonificado, </w:t>
      </w:r>
      <w:proofErr w:type="spellStart"/>
      <w:r w:rsidRPr="008B170C">
        <w:rPr>
          <w:color w:val="auto"/>
          <w:sz w:val="22"/>
          <w:lang w:val="es-ES" w:eastAsia="es-ES"/>
        </w:rPr>
        <w:t>collars</w:t>
      </w:r>
      <w:proofErr w:type="spellEnd"/>
      <w:r w:rsidRPr="008B170C">
        <w:rPr>
          <w:color w:val="auto"/>
          <w:sz w:val="22"/>
          <w:lang w:val="es-ES" w:eastAsia="es-ES"/>
        </w:rPr>
        <w:t>, CAP Spread o límites superiores o inferiores de riesgo) para efectos de cubrir riesgos de mercado relacionados con el o los financiamientos contratados en términos de este decreto hasta por el total del saldo insoluto de estos últimos y, en su caso, tendrán como fuente de pago los mismos ingresos asignados al financiamiento objeto de cobertura y para ello podrán ser inscritos en el mecanismo de pago respectivo. Los instrumentos derivados se podrán contratar hasta por un plazo 60 (sesenta) meses a partir de su celebración.</w:t>
      </w:r>
    </w:p>
    <w:p w14:paraId="4C997EAA" w14:textId="77777777" w:rsidR="008B170C" w:rsidRPr="008B170C" w:rsidRDefault="008B170C" w:rsidP="008B170C">
      <w:pPr>
        <w:spacing w:after="0" w:line="240" w:lineRule="auto"/>
        <w:ind w:left="0" w:right="0" w:firstLine="0"/>
        <w:rPr>
          <w:b/>
          <w:color w:val="auto"/>
          <w:sz w:val="22"/>
          <w:lang w:val="es-ES" w:eastAsia="es-ES"/>
        </w:rPr>
      </w:pPr>
    </w:p>
    <w:p w14:paraId="379D18A0" w14:textId="77777777" w:rsidR="008B170C" w:rsidRP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Artículo 7. Notificación a la Secretaría de Hacienda y Crédito Público</w:t>
      </w:r>
    </w:p>
    <w:p w14:paraId="20C675F0" w14:textId="77777777" w:rsidR="008B170C" w:rsidRPr="008B170C" w:rsidRDefault="008B170C" w:rsidP="008B170C">
      <w:pPr>
        <w:spacing w:after="0" w:line="240" w:lineRule="auto"/>
        <w:ind w:left="0" w:right="0" w:firstLine="0"/>
        <w:rPr>
          <w:color w:val="auto"/>
          <w:sz w:val="22"/>
          <w:lang w:val="es-ES" w:eastAsia="es-ES"/>
        </w:rPr>
      </w:pPr>
    </w:p>
    <w:p w14:paraId="78A73A6C"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 xml:space="preserve">Para asegurar la viabilidad de la estructura de los financiamientos, con base en la afectación a que se refiere el artículo 4 de este decreto, y de conformidad con los artículos 9 y 47 de la Ley de Coordinación Fiscal federal y 7, fracción IX, de la Ley de Deuda Pública del Estado de Yucatán, la Secretaría de Administración y Finanzas deberá notificar a la Secretaría de Hacienda y Crédito Público sobre la afectación autorizada en este decreto. Tal notificación deberá contener una instrucción irrevocable para que la Secretaría de Hacienda y Crédito Público, respecto a cada ministración, entrega, anticipo, entero o ajuste de las participaciones o aportaciones que correspondan al estado, abone los flujos correspondientes a las participaciones o aportaciones </w:t>
      </w:r>
      <w:proofErr w:type="spellStart"/>
      <w:r w:rsidRPr="008B170C">
        <w:rPr>
          <w:color w:val="auto"/>
          <w:sz w:val="22"/>
          <w:lang w:val="es-ES" w:eastAsia="es-ES"/>
        </w:rPr>
        <w:t>fideicomitidas</w:t>
      </w:r>
      <w:proofErr w:type="spellEnd"/>
      <w:r w:rsidRPr="008B170C">
        <w:rPr>
          <w:color w:val="auto"/>
          <w:sz w:val="22"/>
          <w:lang w:val="es-ES" w:eastAsia="es-ES"/>
        </w:rPr>
        <w:t xml:space="preserve"> en el fideicomiso o los fideicomisos correspondientes, hasta el pago total del o los financiamientos contratados al amparo de este decreto.</w:t>
      </w:r>
    </w:p>
    <w:p w14:paraId="427930F4" w14:textId="77777777" w:rsidR="008B170C" w:rsidRPr="008B170C" w:rsidRDefault="008B170C" w:rsidP="008B170C">
      <w:pPr>
        <w:spacing w:after="0" w:line="240" w:lineRule="auto"/>
        <w:ind w:left="0" w:right="0" w:firstLine="0"/>
        <w:rPr>
          <w:b/>
          <w:color w:val="auto"/>
          <w:sz w:val="22"/>
          <w:lang w:val="es-ES" w:eastAsia="es-ES"/>
        </w:rPr>
      </w:pPr>
    </w:p>
    <w:p w14:paraId="3E57D3E3" w14:textId="77777777" w:rsidR="008B170C" w:rsidRP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Artículo 8. Previsiones presupuestales</w:t>
      </w:r>
    </w:p>
    <w:p w14:paraId="4A687DBC" w14:textId="77777777" w:rsidR="008B170C" w:rsidRPr="008B170C" w:rsidRDefault="008B170C" w:rsidP="008B170C">
      <w:pPr>
        <w:spacing w:after="0" w:line="240" w:lineRule="auto"/>
        <w:ind w:left="0" w:right="0" w:firstLine="0"/>
        <w:rPr>
          <w:color w:val="auto"/>
          <w:sz w:val="22"/>
          <w:lang w:val="es-ES" w:eastAsia="es-ES"/>
        </w:rPr>
      </w:pPr>
    </w:p>
    <w:p w14:paraId="25AC8012"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En tanto existan obligaciones de pago pendientes, asociadas con las operaciones de crédito que se celebren al amparo de este decreto, el Poder Ejecutivo deberá incluir anualmente en el presupuesto de egresos del ejercicio fiscal que corresponda, el monto para el servicio de la deuda y sus accesorios, bajo los términos contratados, hasta la total liquidación.</w:t>
      </w:r>
    </w:p>
    <w:p w14:paraId="65BA0628" w14:textId="77777777" w:rsidR="008B170C" w:rsidRPr="008B170C" w:rsidRDefault="008B170C" w:rsidP="008B170C">
      <w:pPr>
        <w:spacing w:after="0" w:line="240" w:lineRule="auto"/>
        <w:ind w:left="0" w:right="0" w:firstLine="0"/>
        <w:jc w:val="left"/>
        <w:rPr>
          <w:color w:val="auto"/>
          <w:sz w:val="22"/>
          <w:lang w:val="es-ES" w:eastAsia="es-ES"/>
        </w:rPr>
      </w:pPr>
    </w:p>
    <w:p w14:paraId="2C8B21A5" w14:textId="77777777" w:rsidR="008B170C" w:rsidRPr="008B170C" w:rsidRDefault="008B170C" w:rsidP="008B170C">
      <w:pPr>
        <w:spacing w:after="0" w:line="240" w:lineRule="auto"/>
        <w:ind w:left="0" w:right="0" w:firstLine="0"/>
        <w:rPr>
          <w:color w:val="auto"/>
          <w:sz w:val="22"/>
          <w:lang w:val="es-ES" w:eastAsia="es-ES"/>
        </w:rPr>
      </w:pPr>
      <w:r w:rsidRPr="008B170C">
        <w:rPr>
          <w:b/>
          <w:color w:val="auto"/>
          <w:sz w:val="22"/>
          <w:lang w:val="es-ES" w:eastAsia="es-ES"/>
        </w:rPr>
        <w:t>Artículo segundo. Se reforman:</w:t>
      </w:r>
      <w:r w:rsidRPr="008B170C">
        <w:rPr>
          <w:color w:val="auto"/>
          <w:sz w:val="22"/>
          <w:lang w:val="es-ES" w:eastAsia="es-ES"/>
        </w:rPr>
        <w:t xml:space="preserve"> el total y el numeral 0 de la tabla del artículo 2 de la Ley de Ingresos del Estado de Yucatán para el Ejercicio Fiscal 2022, para quedar como sigue:</w:t>
      </w:r>
    </w:p>
    <w:p w14:paraId="70968D1B" w14:textId="77777777" w:rsidR="008B170C" w:rsidRPr="008B170C" w:rsidRDefault="008B170C" w:rsidP="008B170C">
      <w:pPr>
        <w:spacing w:after="0" w:line="240" w:lineRule="auto"/>
        <w:ind w:left="0" w:right="0" w:firstLine="0"/>
        <w:rPr>
          <w:b/>
          <w:color w:val="auto"/>
          <w:sz w:val="22"/>
          <w:lang w:val="es-ES" w:eastAsia="es-ES"/>
        </w:rPr>
      </w:pPr>
    </w:p>
    <w:p w14:paraId="5AB040AA" w14:textId="77777777" w:rsidR="008B170C" w:rsidRPr="008B170C" w:rsidRDefault="008B170C" w:rsidP="008B170C">
      <w:pPr>
        <w:spacing w:after="0" w:line="240" w:lineRule="auto"/>
        <w:ind w:left="0" w:right="0" w:firstLine="0"/>
        <w:rPr>
          <w:color w:val="auto"/>
          <w:sz w:val="22"/>
          <w:lang w:val="es-ES" w:eastAsia="es-ES"/>
        </w:rPr>
      </w:pPr>
      <w:r w:rsidRPr="008B170C">
        <w:rPr>
          <w:b/>
          <w:color w:val="auto"/>
          <w:sz w:val="22"/>
          <w:lang w:val="es-ES" w:eastAsia="es-ES"/>
        </w:rPr>
        <w:t>Artículo 2. Ingresos</w:t>
      </w:r>
    </w:p>
    <w:p w14:paraId="36AD9D57" w14:textId="77777777" w:rsidR="008B170C" w:rsidRPr="008B170C" w:rsidRDefault="008B170C" w:rsidP="008B170C">
      <w:pPr>
        <w:spacing w:after="0" w:line="240" w:lineRule="auto"/>
        <w:ind w:left="0" w:right="0" w:firstLine="0"/>
        <w:rPr>
          <w:color w:val="auto"/>
          <w:sz w:val="22"/>
          <w:lang w:val="es-ES" w:eastAsia="es-ES"/>
        </w:rPr>
      </w:pPr>
    </w:p>
    <w:p w14:paraId="3D79D571" w14:textId="77777777" w:rsid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w:t>
      </w:r>
    </w:p>
    <w:p w14:paraId="7AEF57A7" w14:textId="77777777" w:rsidR="008B170C" w:rsidRPr="008B170C" w:rsidRDefault="008B170C" w:rsidP="008B170C">
      <w:pPr>
        <w:spacing w:after="0" w:line="240" w:lineRule="auto"/>
        <w:ind w:left="0" w:right="0" w:firstLine="0"/>
        <w:rPr>
          <w:color w:val="auto"/>
          <w:sz w:val="22"/>
          <w:lang w:val="es-ES" w:eastAsia="es-ES"/>
        </w:rPr>
      </w:pPr>
    </w:p>
    <w:p w14:paraId="02BC5FF4" w14:textId="77777777" w:rsidR="008B170C" w:rsidRPr="008B170C" w:rsidRDefault="008B170C" w:rsidP="008B170C">
      <w:pPr>
        <w:spacing w:after="0" w:line="240" w:lineRule="auto"/>
        <w:ind w:left="0" w:right="0" w:firstLine="0"/>
        <w:jc w:val="center"/>
        <w:rPr>
          <w:rFonts w:eastAsia="Times New Roman"/>
          <w:b/>
          <w:bCs/>
          <w:color w:val="auto"/>
          <w:sz w:val="22"/>
          <w:lang w:val="es-ES" w:eastAsia="es-ES"/>
        </w:rPr>
      </w:pPr>
      <w:r w:rsidRPr="008B170C">
        <w:rPr>
          <w:rFonts w:eastAsia="Times New Roman"/>
          <w:b/>
          <w:bCs/>
          <w:color w:val="auto"/>
          <w:sz w:val="22"/>
          <w:lang w:val="es-ES" w:eastAsia="es-ES"/>
        </w:rPr>
        <w:t>Tabla 1. Clasificador por rubro de ingresos</w:t>
      </w:r>
    </w:p>
    <w:p w14:paraId="0FB9BB95" w14:textId="77777777" w:rsidR="008B170C" w:rsidRPr="008B170C" w:rsidRDefault="008B170C" w:rsidP="008B170C">
      <w:pPr>
        <w:spacing w:after="0" w:line="240" w:lineRule="auto"/>
        <w:ind w:left="0" w:right="0" w:firstLine="0"/>
        <w:jc w:val="center"/>
        <w:rPr>
          <w:rFonts w:eastAsia="Times New Roman"/>
          <w:b/>
          <w:bCs/>
          <w:color w:val="auto"/>
          <w:sz w:val="22"/>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4921"/>
        <w:gridCol w:w="2869"/>
      </w:tblGrid>
      <w:tr w:rsidR="008B170C" w:rsidRPr="008B170C" w14:paraId="3A8C5DCD" w14:textId="77777777" w:rsidTr="00B114C3">
        <w:trPr>
          <w:tblHeader/>
        </w:trPr>
        <w:tc>
          <w:tcPr>
            <w:tcW w:w="664" w:type="pct"/>
            <w:shd w:val="clear" w:color="auto" w:fill="000000"/>
          </w:tcPr>
          <w:p w14:paraId="635DEF7D" w14:textId="77777777" w:rsidR="008B170C" w:rsidRPr="008B170C" w:rsidRDefault="008B170C" w:rsidP="008B170C">
            <w:pPr>
              <w:widowControl w:val="0"/>
              <w:autoSpaceDE w:val="0"/>
              <w:autoSpaceDN w:val="0"/>
              <w:spacing w:before="60" w:after="60" w:line="240" w:lineRule="auto"/>
              <w:ind w:left="0" w:right="0" w:firstLine="0"/>
              <w:jc w:val="center"/>
              <w:rPr>
                <w:b/>
                <w:color w:val="auto"/>
                <w:szCs w:val="24"/>
                <w:lang w:val="es-ES" w:eastAsia="es-ES"/>
              </w:rPr>
            </w:pPr>
            <w:r w:rsidRPr="008B170C">
              <w:rPr>
                <w:b/>
                <w:color w:val="auto"/>
                <w:szCs w:val="24"/>
                <w:lang w:val="es-ES" w:eastAsia="es-ES"/>
              </w:rPr>
              <w:t>Rubros</w:t>
            </w:r>
          </w:p>
        </w:tc>
        <w:tc>
          <w:tcPr>
            <w:tcW w:w="2739" w:type="pct"/>
            <w:shd w:val="clear" w:color="auto" w:fill="000000"/>
          </w:tcPr>
          <w:p w14:paraId="25B96D45" w14:textId="77777777" w:rsidR="008B170C" w:rsidRPr="008B170C" w:rsidRDefault="008B170C" w:rsidP="008B170C">
            <w:pPr>
              <w:widowControl w:val="0"/>
              <w:autoSpaceDE w:val="0"/>
              <w:autoSpaceDN w:val="0"/>
              <w:spacing w:before="60" w:after="60" w:line="240" w:lineRule="auto"/>
              <w:ind w:left="0" w:right="0" w:firstLine="0"/>
              <w:jc w:val="center"/>
              <w:rPr>
                <w:b/>
                <w:color w:val="auto"/>
                <w:szCs w:val="24"/>
                <w:lang w:val="es-ES" w:eastAsia="es-ES"/>
              </w:rPr>
            </w:pPr>
            <w:r w:rsidRPr="008B170C">
              <w:rPr>
                <w:b/>
                <w:color w:val="auto"/>
                <w:szCs w:val="24"/>
                <w:lang w:val="es-ES" w:eastAsia="es-ES"/>
              </w:rPr>
              <w:t>Conceptos</w:t>
            </w:r>
          </w:p>
        </w:tc>
        <w:tc>
          <w:tcPr>
            <w:tcW w:w="1597" w:type="pct"/>
            <w:shd w:val="clear" w:color="auto" w:fill="000000"/>
          </w:tcPr>
          <w:p w14:paraId="55A1C842" w14:textId="77777777" w:rsidR="008B170C" w:rsidRPr="008B170C" w:rsidRDefault="008B170C" w:rsidP="008B170C">
            <w:pPr>
              <w:widowControl w:val="0"/>
              <w:autoSpaceDE w:val="0"/>
              <w:autoSpaceDN w:val="0"/>
              <w:spacing w:before="60" w:after="60" w:line="240" w:lineRule="auto"/>
              <w:ind w:left="0" w:right="0" w:firstLine="0"/>
              <w:jc w:val="center"/>
              <w:rPr>
                <w:b/>
                <w:color w:val="auto"/>
                <w:szCs w:val="24"/>
                <w:lang w:val="es-ES" w:eastAsia="es-ES"/>
              </w:rPr>
            </w:pPr>
            <w:r w:rsidRPr="008B170C">
              <w:rPr>
                <w:b/>
                <w:color w:val="auto"/>
                <w:szCs w:val="24"/>
                <w:lang w:val="es-ES" w:eastAsia="es-ES"/>
              </w:rPr>
              <w:t>Totales</w:t>
            </w:r>
          </w:p>
        </w:tc>
      </w:tr>
      <w:tr w:rsidR="008B170C" w:rsidRPr="008B170C" w14:paraId="5F5080D8" w14:textId="77777777" w:rsidTr="00B114C3">
        <w:tc>
          <w:tcPr>
            <w:tcW w:w="664" w:type="pct"/>
            <w:shd w:val="clear" w:color="auto" w:fill="D9D9D9"/>
          </w:tcPr>
          <w:p w14:paraId="35F74270"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p>
        </w:tc>
        <w:tc>
          <w:tcPr>
            <w:tcW w:w="2739" w:type="pct"/>
            <w:shd w:val="clear" w:color="auto" w:fill="D9D9D9"/>
          </w:tcPr>
          <w:p w14:paraId="69BC88AB" w14:textId="77777777" w:rsidR="008B170C" w:rsidRPr="008B170C" w:rsidRDefault="008B170C" w:rsidP="008B170C">
            <w:pPr>
              <w:widowControl w:val="0"/>
              <w:autoSpaceDE w:val="0"/>
              <w:autoSpaceDN w:val="0"/>
              <w:spacing w:before="60" w:after="60" w:line="240" w:lineRule="auto"/>
              <w:ind w:left="0" w:right="0" w:firstLine="0"/>
              <w:rPr>
                <w:b/>
                <w:color w:val="auto"/>
                <w:szCs w:val="24"/>
                <w:lang w:val="es-ES" w:eastAsia="es-ES"/>
              </w:rPr>
            </w:pPr>
            <w:r w:rsidRPr="008B170C">
              <w:rPr>
                <w:b/>
                <w:color w:val="auto"/>
                <w:szCs w:val="24"/>
                <w:lang w:val="es-ES" w:eastAsia="es-ES"/>
              </w:rPr>
              <w:t>Iniciativa de Ley de Ingresos</w:t>
            </w:r>
          </w:p>
        </w:tc>
        <w:tc>
          <w:tcPr>
            <w:tcW w:w="1597" w:type="pct"/>
            <w:shd w:val="clear" w:color="auto" w:fill="D9D9D9"/>
          </w:tcPr>
          <w:p w14:paraId="00D3FAFE" w14:textId="77777777" w:rsidR="008B170C" w:rsidRPr="008B170C" w:rsidRDefault="008B170C" w:rsidP="008B170C">
            <w:pPr>
              <w:widowControl w:val="0"/>
              <w:autoSpaceDE w:val="0"/>
              <w:autoSpaceDN w:val="0"/>
              <w:spacing w:before="60" w:after="60" w:line="240" w:lineRule="auto"/>
              <w:ind w:left="0" w:right="0" w:firstLine="0"/>
              <w:jc w:val="right"/>
              <w:rPr>
                <w:color w:val="auto"/>
                <w:szCs w:val="24"/>
                <w:lang w:val="es-ES" w:eastAsia="es-ES"/>
              </w:rPr>
            </w:pPr>
            <w:r w:rsidRPr="008B170C">
              <w:rPr>
                <w:b/>
                <w:color w:val="auto"/>
                <w:szCs w:val="24"/>
                <w:lang w:val="es-ES" w:eastAsia="es-ES"/>
              </w:rPr>
              <w:t>$      47,773,050,321.00</w:t>
            </w:r>
          </w:p>
        </w:tc>
      </w:tr>
      <w:tr w:rsidR="008B170C" w:rsidRPr="008B170C" w14:paraId="242961EC" w14:textId="77777777" w:rsidTr="00B114C3">
        <w:tc>
          <w:tcPr>
            <w:tcW w:w="664" w:type="pct"/>
            <w:shd w:val="clear" w:color="auto" w:fill="D9D9D9"/>
          </w:tcPr>
          <w:p w14:paraId="2E6BBC82"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eastAsia="Times New Roman"/>
                <w:b/>
                <w:bCs/>
                <w:color w:val="auto"/>
                <w:sz w:val="20"/>
                <w:szCs w:val="20"/>
                <w:lang w:val="es-ES" w:eastAsia="es-ES"/>
              </w:rPr>
              <w:t xml:space="preserve">1 </w:t>
            </w:r>
            <w:r w:rsidRPr="008B170C">
              <w:rPr>
                <w:rFonts w:eastAsia="Times New Roman"/>
                <w:bCs/>
                <w:color w:val="auto"/>
                <w:sz w:val="20"/>
                <w:szCs w:val="20"/>
                <w:lang w:val="es-ES" w:eastAsia="es-ES"/>
              </w:rPr>
              <w:t xml:space="preserve">al </w:t>
            </w:r>
            <w:r w:rsidRPr="008B170C">
              <w:rPr>
                <w:rFonts w:eastAsia="Times New Roman"/>
                <w:b/>
                <w:bCs/>
                <w:color w:val="auto"/>
                <w:sz w:val="20"/>
                <w:szCs w:val="20"/>
                <w:lang w:val="es-ES" w:eastAsia="es-ES"/>
              </w:rPr>
              <w:t>9</w:t>
            </w:r>
            <w:r w:rsidRPr="008B170C">
              <w:rPr>
                <w:rFonts w:eastAsia="Times New Roman"/>
                <w:bCs/>
                <w:color w:val="auto"/>
                <w:sz w:val="20"/>
                <w:szCs w:val="20"/>
                <w:lang w:val="es-ES" w:eastAsia="es-ES"/>
              </w:rPr>
              <w:t xml:space="preserve"> …</w:t>
            </w:r>
          </w:p>
        </w:tc>
        <w:tc>
          <w:tcPr>
            <w:tcW w:w="2739" w:type="pct"/>
            <w:shd w:val="clear" w:color="auto" w:fill="D9D9D9"/>
          </w:tcPr>
          <w:p w14:paraId="762B8497" w14:textId="77777777" w:rsidR="008B170C" w:rsidRPr="008B170C" w:rsidRDefault="008B170C" w:rsidP="008B170C">
            <w:pPr>
              <w:widowControl w:val="0"/>
              <w:autoSpaceDE w:val="0"/>
              <w:autoSpaceDN w:val="0"/>
              <w:spacing w:before="60" w:after="60" w:line="240" w:lineRule="auto"/>
              <w:ind w:left="0" w:right="0" w:firstLine="0"/>
              <w:rPr>
                <w:b/>
                <w:color w:val="auto"/>
                <w:szCs w:val="24"/>
                <w:lang w:val="es-ES" w:eastAsia="es-ES"/>
              </w:rPr>
            </w:pPr>
          </w:p>
        </w:tc>
        <w:tc>
          <w:tcPr>
            <w:tcW w:w="1597" w:type="pct"/>
            <w:shd w:val="clear" w:color="auto" w:fill="D9D9D9"/>
          </w:tcPr>
          <w:p w14:paraId="7E8A8BFD" w14:textId="77777777" w:rsidR="008B170C" w:rsidRPr="008B170C" w:rsidRDefault="008B170C" w:rsidP="008B170C">
            <w:pPr>
              <w:widowControl w:val="0"/>
              <w:autoSpaceDE w:val="0"/>
              <w:autoSpaceDN w:val="0"/>
              <w:spacing w:before="60" w:after="60" w:line="240" w:lineRule="auto"/>
              <w:ind w:left="0" w:right="0" w:firstLine="0"/>
              <w:jc w:val="right"/>
              <w:rPr>
                <w:b/>
                <w:color w:val="auto"/>
                <w:szCs w:val="24"/>
                <w:lang w:val="es-ES" w:eastAsia="es-ES"/>
              </w:rPr>
            </w:pPr>
          </w:p>
        </w:tc>
      </w:tr>
      <w:tr w:rsidR="008B170C" w:rsidRPr="008B170C" w14:paraId="4089573A" w14:textId="77777777" w:rsidTr="00B114C3">
        <w:tc>
          <w:tcPr>
            <w:tcW w:w="664" w:type="pct"/>
            <w:shd w:val="clear" w:color="auto" w:fill="D9D9D9"/>
          </w:tcPr>
          <w:p w14:paraId="629E5BB2"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color w:val="auto"/>
                <w:szCs w:val="24"/>
                <w:lang w:val="es-ES" w:eastAsia="es-ES"/>
              </w:rPr>
              <w:t>0</w:t>
            </w:r>
          </w:p>
        </w:tc>
        <w:tc>
          <w:tcPr>
            <w:tcW w:w="2739" w:type="pct"/>
            <w:shd w:val="clear" w:color="auto" w:fill="D9D9D9"/>
          </w:tcPr>
          <w:p w14:paraId="7030A802"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ascii="Arial,Bold" w:eastAsia="Times New Roman" w:hAnsi="Arial,Bold" w:cs="Arial,Bold"/>
                <w:b/>
                <w:bCs/>
                <w:color w:val="auto"/>
                <w:sz w:val="18"/>
                <w:szCs w:val="18"/>
                <w:lang w:val="es-ES" w:eastAsia="es-ES"/>
              </w:rPr>
              <w:t xml:space="preserve"> Ingresos Derivados de Financiamientos</w:t>
            </w:r>
          </w:p>
        </w:tc>
        <w:tc>
          <w:tcPr>
            <w:tcW w:w="1597" w:type="pct"/>
            <w:shd w:val="clear" w:color="auto" w:fill="D9D9D9"/>
          </w:tcPr>
          <w:p w14:paraId="15AA4798" w14:textId="77777777" w:rsidR="008B170C" w:rsidRPr="008B170C" w:rsidRDefault="008B170C" w:rsidP="008B170C">
            <w:pPr>
              <w:widowControl w:val="0"/>
              <w:autoSpaceDE w:val="0"/>
              <w:autoSpaceDN w:val="0"/>
              <w:spacing w:before="60" w:after="60" w:line="240" w:lineRule="auto"/>
              <w:ind w:left="0" w:right="0" w:firstLine="0"/>
              <w:jc w:val="right"/>
              <w:rPr>
                <w:color w:val="auto"/>
                <w:szCs w:val="24"/>
                <w:lang w:val="es-ES" w:eastAsia="es-ES"/>
              </w:rPr>
            </w:pPr>
            <w:r w:rsidRPr="008B170C">
              <w:rPr>
                <w:b/>
                <w:color w:val="auto"/>
                <w:szCs w:val="24"/>
                <w:lang w:val="es-ES" w:eastAsia="es-ES"/>
              </w:rPr>
              <w:t>$        1,735,000,000.00</w:t>
            </w:r>
          </w:p>
        </w:tc>
      </w:tr>
      <w:tr w:rsidR="008B170C" w:rsidRPr="008B170C" w14:paraId="59B88F3C" w14:textId="77777777" w:rsidTr="00B114C3">
        <w:tc>
          <w:tcPr>
            <w:tcW w:w="664" w:type="pct"/>
            <w:shd w:val="clear" w:color="auto" w:fill="auto"/>
          </w:tcPr>
          <w:p w14:paraId="6FE43112"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ascii="Arial,Bold" w:eastAsia="Times New Roman" w:hAnsi="Arial,Bold" w:cs="Arial,Bold"/>
                <w:b/>
                <w:bCs/>
                <w:color w:val="auto"/>
                <w:sz w:val="18"/>
                <w:szCs w:val="18"/>
                <w:lang w:val="es-ES" w:eastAsia="es-ES"/>
              </w:rPr>
              <w:t>0.1</w:t>
            </w:r>
          </w:p>
        </w:tc>
        <w:tc>
          <w:tcPr>
            <w:tcW w:w="2739" w:type="pct"/>
            <w:shd w:val="clear" w:color="auto" w:fill="auto"/>
          </w:tcPr>
          <w:p w14:paraId="203B7A0D"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ascii="Arial,Bold" w:eastAsia="Times New Roman" w:hAnsi="Arial,Bold" w:cs="Arial,Bold"/>
                <w:b/>
                <w:bCs/>
                <w:color w:val="auto"/>
                <w:sz w:val="18"/>
                <w:szCs w:val="18"/>
                <w:lang w:val="es-ES" w:eastAsia="es-ES"/>
              </w:rPr>
              <w:t>Endeudamiento Interno</w:t>
            </w:r>
          </w:p>
        </w:tc>
        <w:tc>
          <w:tcPr>
            <w:tcW w:w="1597" w:type="pct"/>
            <w:shd w:val="clear" w:color="auto" w:fill="auto"/>
          </w:tcPr>
          <w:p w14:paraId="24C5F79A"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b/>
                <w:color w:val="auto"/>
                <w:szCs w:val="24"/>
                <w:lang w:val="es-ES" w:eastAsia="es-ES"/>
              </w:rPr>
              <w:t>$                             0.00</w:t>
            </w:r>
          </w:p>
        </w:tc>
      </w:tr>
      <w:tr w:rsidR="008B170C" w:rsidRPr="008B170C" w14:paraId="2D6018F8" w14:textId="77777777" w:rsidTr="00B114C3">
        <w:tc>
          <w:tcPr>
            <w:tcW w:w="664" w:type="pct"/>
            <w:shd w:val="clear" w:color="auto" w:fill="auto"/>
          </w:tcPr>
          <w:p w14:paraId="185BC4CB"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eastAsia="Times New Roman"/>
                <w:color w:val="auto"/>
                <w:sz w:val="18"/>
                <w:szCs w:val="18"/>
                <w:lang w:val="es-ES" w:eastAsia="es-ES"/>
              </w:rPr>
              <w:t>0.1.1</w:t>
            </w:r>
          </w:p>
        </w:tc>
        <w:tc>
          <w:tcPr>
            <w:tcW w:w="2739" w:type="pct"/>
            <w:shd w:val="clear" w:color="auto" w:fill="auto"/>
          </w:tcPr>
          <w:p w14:paraId="13996AFA"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eastAsia="Times New Roman"/>
                <w:color w:val="auto"/>
                <w:sz w:val="18"/>
                <w:szCs w:val="18"/>
                <w:lang w:val="es-ES" w:eastAsia="es-ES"/>
              </w:rPr>
              <w:t>Empréstitos con Fuente de Pago de Participaciones</w:t>
            </w:r>
          </w:p>
        </w:tc>
        <w:tc>
          <w:tcPr>
            <w:tcW w:w="1597" w:type="pct"/>
            <w:shd w:val="clear" w:color="auto" w:fill="auto"/>
          </w:tcPr>
          <w:p w14:paraId="7FA9BA61"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color w:val="auto"/>
                <w:szCs w:val="24"/>
                <w:lang w:val="es-ES" w:eastAsia="es-ES"/>
              </w:rPr>
              <w:t>$                             0.00</w:t>
            </w:r>
          </w:p>
        </w:tc>
      </w:tr>
      <w:tr w:rsidR="008B170C" w:rsidRPr="008B170C" w14:paraId="41520A2E" w14:textId="77777777" w:rsidTr="00B114C3">
        <w:tc>
          <w:tcPr>
            <w:tcW w:w="664" w:type="pct"/>
            <w:shd w:val="clear" w:color="auto" w:fill="auto"/>
          </w:tcPr>
          <w:p w14:paraId="5AAAB424"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eastAsia="Times New Roman"/>
                <w:color w:val="auto"/>
                <w:sz w:val="18"/>
                <w:szCs w:val="18"/>
                <w:lang w:val="es-ES" w:eastAsia="es-ES"/>
              </w:rPr>
              <w:t>0.1.2</w:t>
            </w:r>
          </w:p>
        </w:tc>
        <w:tc>
          <w:tcPr>
            <w:tcW w:w="2739" w:type="pct"/>
            <w:shd w:val="clear" w:color="auto" w:fill="auto"/>
          </w:tcPr>
          <w:p w14:paraId="61CD9EF2" w14:textId="77777777" w:rsidR="008B170C" w:rsidRPr="008B170C" w:rsidRDefault="008B170C" w:rsidP="008B170C">
            <w:pPr>
              <w:widowControl w:val="0"/>
              <w:autoSpaceDE w:val="0"/>
              <w:autoSpaceDN w:val="0"/>
              <w:adjustRightInd w:val="0"/>
              <w:spacing w:before="60" w:after="60" w:line="240" w:lineRule="auto"/>
              <w:ind w:left="0" w:right="0" w:firstLine="0"/>
              <w:jc w:val="left"/>
              <w:rPr>
                <w:rFonts w:eastAsia="Times New Roman"/>
                <w:color w:val="auto"/>
                <w:sz w:val="18"/>
                <w:szCs w:val="18"/>
                <w:lang w:val="es-ES" w:eastAsia="es-ES"/>
              </w:rPr>
            </w:pPr>
            <w:r w:rsidRPr="008B170C">
              <w:rPr>
                <w:rFonts w:eastAsia="Times New Roman"/>
                <w:color w:val="auto"/>
                <w:sz w:val="18"/>
                <w:szCs w:val="18"/>
                <w:lang w:val="es-ES" w:eastAsia="es-ES"/>
              </w:rPr>
              <w:t xml:space="preserve">Empréstitos con Fuente de Pago de Aportaciones </w:t>
            </w:r>
          </w:p>
        </w:tc>
        <w:tc>
          <w:tcPr>
            <w:tcW w:w="1597" w:type="pct"/>
            <w:shd w:val="clear" w:color="auto" w:fill="auto"/>
          </w:tcPr>
          <w:p w14:paraId="285789E6"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color w:val="auto"/>
                <w:szCs w:val="24"/>
                <w:lang w:val="es-ES" w:eastAsia="es-ES"/>
              </w:rPr>
              <w:t>$                             0.00</w:t>
            </w:r>
          </w:p>
        </w:tc>
      </w:tr>
      <w:tr w:rsidR="008B170C" w:rsidRPr="008B170C" w14:paraId="3A121902" w14:textId="77777777" w:rsidTr="00B114C3">
        <w:tc>
          <w:tcPr>
            <w:tcW w:w="664" w:type="pct"/>
            <w:shd w:val="clear" w:color="auto" w:fill="auto"/>
          </w:tcPr>
          <w:p w14:paraId="035D6773"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ascii="Arial,Bold" w:eastAsia="Times New Roman" w:hAnsi="Arial,Bold" w:cs="Arial,Bold"/>
                <w:b/>
                <w:bCs/>
                <w:color w:val="auto"/>
                <w:sz w:val="18"/>
                <w:szCs w:val="18"/>
                <w:lang w:val="es-ES" w:eastAsia="es-ES"/>
              </w:rPr>
              <w:t>0.2</w:t>
            </w:r>
          </w:p>
        </w:tc>
        <w:tc>
          <w:tcPr>
            <w:tcW w:w="2739" w:type="pct"/>
            <w:shd w:val="clear" w:color="auto" w:fill="auto"/>
          </w:tcPr>
          <w:p w14:paraId="315646FF"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ascii="Arial,Bold" w:eastAsia="Times New Roman" w:hAnsi="Arial,Bold" w:cs="Arial,Bold"/>
                <w:b/>
                <w:bCs/>
                <w:color w:val="auto"/>
                <w:sz w:val="18"/>
                <w:szCs w:val="18"/>
                <w:lang w:val="es-ES" w:eastAsia="es-ES"/>
              </w:rPr>
              <w:t>Endeudamiento Externo</w:t>
            </w:r>
          </w:p>
        </w:tc>
        <w:tc>
          <w:tcPr>
            <w:tcW w:w="1597" w:type="pct"/>
            <w:shd w:val="clear" w:color="auto" w:fill="auto"/>
          </w:tcPr>
          <w:p w14:paraId="55EE8285" w14:textId="77777777" w:rsidR="008B170C" w:rsidRPr="008B170C" w:rsidRDefault="008B170C" w:rsidP="008B170C">
            <w:pPr>
              <w:widowControl w:val="0"/>
              <w:autoSpaceDE w:val="0"/>
              <w:autoSpaceDN w:val="0"/>
              <w:spacing w:before="60" w:after="60" w:line="240" w:lineRule="auto"/>
              <w:ind w:left="0" w:right="0" w:firstLine="0"/>
              <w:jc w:val="left"/>
              <w:rPr>
                <w:rFonts w:ascii="Times New Roman" w:eastAsia="Times New Roman" w:hAnsi="Times New Roman" w:cs="Times New Roman"/>
                <w:color w:val="auto"/>
                <w:szCs w:val="24"/>
                <w:lang w:val="es-ES" w:eastAsia="es-ES"/>
              </w:rPr>
            </w:pPr>
            <w:r w:rsidRPr="008B170C">
              <w:rPr>
                <w:b/>
                <w:color w:val="auto"/>
                <w:szCs w:val="24"/>
                <w:lang w:val="es-ES" w:eastAsia="es-ES"/>
              </w:rPr>
              <w:t>$                             0.00</w:t>
            </w:r>
          </w:p>
        </w:tc>
      </w:tr>
      <w:tr w:rsidR="008B170C" w:rsidRPr="008B170C" w14:paraId="4686C0F9" w14:textId="77777777" w:rsidTr="00B114C3">
        <w:tc>
          <w:tcPr>
            <w:tcW w:w="664" w:type="pct"/>
            <w:shd w:val="clear" w:color="auto" w:fill="auto"/>
          </w:tcPr>
          <w:p w14:paraId="635642C2"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eastAsia="Times New Roman"/>
                <w:color w:val="auto"/>
                <w:sz w:val="18"/>
                <w:szCs w:val="18"/>
                <w:lang w:val="es-ES" w:eastAsia="es-ES"/>
              </w:rPr>
              <w:t>0.2.1</w:t>
            </w:r>
          </w:p>
        </w:tc>
        <w:tc>
          <w:tcPr>
            <w:tcW w:w="2739" w:type="pct"/>
            <w:shd w:val="clear" w:color="auto" w:fill="auto"/>
          </w:tcPr>
          <w:p w14:paraId="7F4BEEEE"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eastAsia="Times New Roman"/>
                <w:color w:val="auto"/>
                <w:sz w:val="18"/>
                <w:szCs w:val="18"/>
                <w:lang w:val="es-ES" w:eastAsia="es-ES"/>
              </w:rPr>
              <w:t>Empréstitos con Fuente de Pago de Participaciones</w:t>
            </w:r>
          </w:p>
        </w:tc>
        <w:tc>
          <w:tcPr>
            <w:tcW w:w="1597" w:type="pct"/>
            <w:shd w:val="clear" w:color="auto" w:fill="auto"/>
          </w:tcPr>
          <w:p w14:paraId="1F1A143A" w14:textId="77777777" w:rsidR="008B170C" w:rsidRPr="008B170C" w:rsidRDefault="008B170C" w:rsidP="008B170C">
            <w:pPr>
              <w:widowControl w:val="0"/>
              <w:autoSpaceDE w:val="0"/>
              <w:autoSpaceDN w:val="0"/>
              <w:spacing w:before="60" w:after="60" w:line="240" w:lineRule="auto"/>
              <w:ind w:left="0" w:right="0" w:firstLine="0"/>
              <w:jc w:val="left"/>
              <w:rPr>
                <w:rFonts w:ascii="Times New Roman" w:eastAsia="Times New Roman" w:hAnsi="Times New Roman" w:cs="Times New Roman"/>
                <w:color w:val="auto"/>
                <w:szCs w:val="24"/>
                <w:lang w:val="es-ES" w:eastAsia="es-ES"/>
              </w:rPr>
            </w:pPr>
            <w:r w:rsidRPr="008B170C">
              <w:rPr>
                <w:color w:val="auto"/>
                <w:szCs w:val="24"/>
                <w:lang w:val="es-ES" w:eastAsia="es-ES"/>
              </w:rPr>
              <w:t>$                             0.00</w:t>
            </w:r>
          </w:p>
        </w:tc>
      </w:tr>
      <w:tr w:rsidR="008B170C" w:rsidRPr="008B170C" w14:paraId="4A667F49" w14:textId="77777777" w:rsidTr="00B114C3">
        <w:tc>
          <w:tcPr>
            <w:tcW w:w="664" w:type="pct"/>
            <w:shd w:val="clear" w:color="auto" w:fill="auto"/>
          </w:tcPr>
          <w:p w14:paraId="3AA5EA5F"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eastAsia="Times New Roman"/>
                <w:color w:val="auto"/>
                <w:sz w:val="18"/>
                <w:szCs w:val="18"/>
                <w:lang w:val="es-ES" w:eastAsia="es-ES"/>
              </w:rPr>
              <w:t>0.2.2</w:t>
            </w:r>
          </w:p>
        </w:tc>
        <w:tc>
          <w:tcPr>
            <w:tcW w:w="2739" w:type="pct"/>
            <w:shd w:val="clear" w:color="auto" w:fill="auto"/>
          </w:tcPr>
          <w:p w14:paraId="0A1D1728"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rFonts w:eastAsia="Times New Roman"/>
                <w:color w:val="auto"/>
                <w:sz w:val="18"/>
                <w:szCs w:val="18"/>
                <w:lang w:val="es-ES" w:eastAsia="es-ES"/>
              </w:rPr>
              <w:t>Empréstitos con Fuente de Pago de Aportaciones</w:t>
            </w:r>
          </w:p>
        </w:tc>
        <w:tc>
          <w:tcPr>
            <w:tcW w:w="1597" w:type="pct"/>
            <w:shd w:val="clear" w:color="auto" w:fill="auto"/>
          </w:tcPr>
          <w:p w14:paraId="190E0870" w14:textId="77777777" w:rsidR="008B170C" w:rsidRPr="008B170C" w:rsidRDefault="008B170C" w:rsidP="008B170C">
            <w:pPr>
              <w:widowControl w:val="0"/>
              <w:autoSpaceDE w:val="0"/>
              <w:autoSpaceDN w:val="0"/>
              <w:spacing w:before="60" w:after="60" w:line="240" w:lineRule="auto"/>
              <w:ind w:left="0" w:right="0" w:firstLine="0"/>
              <w:rPr>
                <w:color w:val="auto"/>
                <w:szCs w:val="24"/>
                <w:lang w:val="es-ES" w:eastAsia="es-ES"/>
              </w:rPr>
            </w:pPr>
            <w:r w:rsidRPr="008B170C">
              <w:rPr>
                <w:color w:val="auto"/>
                <w:szCs w:val="24"/>
                <w:lang w:val="es-ES" w:eastAsia="es-ES"/>
              </w:rPr>
              <w:t>$                             0.00</w:t>
            </w:r>
          </w:p>
        </w:tc>
      </w:tr>
      <w:tr w:rsidR="008B170C" w:rsidRPr="008B170C" w14:paraId="79E9868F" w14:textId="77777777" w:rsidTr="00B114C3">
        <w:tc>
          <w:tcPr>
            <w:tcW w:w="664" w:type="pct"/>
            <w:shd w:val="clear" w:color="auto" w:fill="auto"/>
          </w:tcPr>
          <w:p w14:paraId="592E021D" w14:textId="77777777" w:rsidR="008B170C" w:rsidRPr="008B170C" w:rsidRDefault="008B170C" w:rsidP="008B170C">
            <w:pPr>
              <w:widowControl w:val="0"/>
              <w:autoSpaceDE w:val="0"/>
              <w:autoSpaceDN w:val="0"/>
              <w:spacing w:before="60" w:after="60" w:line="240" w:lineRule="auto"/>
              <w:ind w:left="0" w:right="0" w:firstLine="0"/>
              <w:rPr>
                <w:rFonts w:eastAsia="Times New Roman"/>
                <w:color w:val="auto"/>
                <w:sz w:val="18"/>
                <w:szCs w:val="18"/>
                <w:lang w:val="es-ES" w:eastAsia="es-ES"/>
              </w:rPr>
            </w:pPr>
            <w:r w:rsidRPr="008B170C">
              <w:rPr>
                <w:rFonts w:ascii="Arial,Bold" w:eastAsia="Times New Roman" w:hAnsi="Arial,Bold" w:cs="Arial,Bold"/>
                <w:b/>
                <w:bCs/>
                <w:color w:val="auto"/>
                <w:sz w:val="18"/>
                <w:szCs w:val="18"/>
                <w:lang w:val="es-ES" w:eastAsia="es-ES"/>
              </w:rPr>
              <w:t>0.3</w:t>
            </w:r>
          </w:p>
        </w:tc>
        <w:tc>
          <w:tcPr>
            <w:tcW w:w="2739" w:type="pct"/>
            <w:shd w:val="clear" w:color="auto" w:fill="auto"/>
          </w:tcPr>
          <w:p w14:paraId="5513F045" w14:textId="77777777" w:rsidR="008B170C" w:rsidRPr="008B170C" w:rsidRDefault="008B170C" w:rsidP="008B170C">
            <w:pPr>
              <w:widowControl w:val="0"/>
              <w:autoSpaceDE w:val="0"/>
              <w:autoSpaceDN w:val="0"/>
              <w:spacing w:before="60" w:after="60" w:line="240" w:lineRule="auto"/>
              <w:ind w:left="0" w:right="0" w:firstLine="0"/>
              <w:rPr>
                <w:rFonts w:eastAsia="Times New Roman"/>
                <w:color w:val="auto"/>
                <w:sz w:val="18"/>
                <w:szCs w:val="18"/>
                <w:lang w:val="es-ES" w:eastAsia="es-ES"/>
              </w:rPr>
            </w:pPr>
            <w:r w:rsidRPr="008B170C">
              <w:rPr>
                <w:rFonts w:ascii="Arial,Bold" w:eastAsia="Times New Roman" w:hAnsi="Arial,Bold" w:cs="Arial,Bold"/>
                <w:b/>
                <w:bCs/>
                <w:color w:val="auto"/>
                <w:sz w:val="18"/>
                <w:szCs w:val="18"/>
                <w:lang w:val="es-ES" w:eastAsia="es-ES"/>
              </w:rPr>
              <w:t>Financiamiento Interno</w:t>
            </w:r>
          </w:p>
        </w:tc>
        <w:tc>
          <w:tcPr>
            <w:tcW w:w="1597" w:type="pct"/>
            <w:shd w:val="clear" w:color="auto" w:fill="auto"/>
          </w:tcPr>
          <w:p w14:paraId="78F569D2" w14:textId="77777777" w:rsidR="008B170C" w:rsidRPr="008B170C" w:rsidRDefault="008B170C" w:rsidP="008B170C">
            <w:pPr>
              <w:widowControl w:val="0"/>
              <w:autoSpaceDE w:val="0"/>
              <w:autoSpaceDN w:val="0"/>
              <w:spacing w:before="60" w:after="60" w:line="240" w:lineRule="auto"/>
              <w:ind w:left="0" w:right="0" w:firstLine="0"/>
              <w:jc w:val="left"/>
              <w:rPr>
                <w:rFonts w:ascii="Times New Roman" w:eastAsia="Times New Roman" w:hAnsi="Times New Roman" w:cs="Times New Roman"/>
                <w:b/>
                <w:color w:val="auto"/>
                <w:szCs w:val="24"/>
                <w:lang w:val="es-ES" w:eastAsia="es-ES"/>
              </w:rPr>
            </w:pPr>
            <w:r w:rsidRPr="008B170C">
              <w:rPr>
                <w:b/>
                <w:color w:val="auto"/>
                <w:szCs w:val="24"/>
                <w:lang w:val="es-ES" w:eastAsia="es-ES"/>
              </w:rPr>
              <w:t>$        1,735,000,000.00</w:t>
            </w:r>
          </w:p>
        </w:tc>
      </w:tr>
      <w:tr w:rsidR="008B170C" w:rsidRPr="008B170C" w14:paraId="6A7CDFBE" w14:textId="77777777" w:rsidTr="00B114C3">
        <w:tc>
          <w:tcPr>
            <w:tcW w:w="664" w:type="pct"/>
            <w:shd w:val="clear" w:color="auto" w:fill="auto"/>
          </w:tcPr>
          <w:p w14:paraId="0EDC2419" w14:textId="77777777" w:rsidR="008B170C" w:rsidRPr="008B170C" w:rsidRDefault="008B170C" w:rsidP="008B170C">
            <w:pPr>
              <w:widowControl w:val="0"/>
              <w:autoSpaceDE w:val="0"/>
              <w:autoSpaceDN w:val="0"/>
              <w:spacing w:before="60" w:after="60" w:line="240" w:lineRule="auto"/>
              <w:ind w:left="0" w:right="0" w:firstLine="0"/>
              <w:rPr>
                <w:rFonts w:eastAsia="Times New Roman"/>
                <w:color w:val="auto"/>
                <w:sz w:val="18"/>
                <w:szCs w:val="18"/>
                <w:lang w:val="es-ES" w:eastAsia="es-ES"/>
              </w:rPr>
            </w:pPr>
            <w:r w:rsidRPr="008B170C">
              <w:rPr>
                <w:rFonts w:eastAsia="Times New Roman"/>
                <w:color w:val="auto"/>
                <w:sz w:val="18"/>
                <w:szCs w:val="18"/>
                <w:lang w:val="es-ES" w:eastAsia="es-ES"/>
              </w:rPr>
              <w:t>0.3.1</w:t>
            </w:r>
          </w:p>
        </w:tc>
        <w:tc>
          <w:tcPr>
            <w:tcW w:w="2739" w:type="pct"/>
            <w:shd w:val="clear" w:color="auto" w:fill="auto"/>
          </w:tcPr>
          <w:p w14:paraId="2E618835" w14:textId="77777777" w:rsidR="008B170C" w:rsidRPr="008B170C" w:rsidRDefault="008B170C" w:rsidP="008B170C">
            <w:pPr>
              <w:widowControl w:val="0"/>
              <w:autoSpaceDE w:val="0"/>
              <w:autoSpaceDN w:val="0"/>
              <w:spacing w:before="60" w:after="60" w:line="240" w:lineRule="auto"/>
              <w:ind w:left="0" w:right="0" w:firstLine="0"/>
              <w:rPr>
                <w:rFonts w:eastAsia="Times New Roman"/>
                <w:color w:val="auto"/>
                <w:sz w:val="18"/>
                <w:szCs w:val="18"/>
                <w:lang w:val="es-ES" w:eastAsia="es-ES"/>
              </w:rPr>
            </w:pPr>
            <w:r w:rsidRPr="008B170C">
              <w:rPr>
                <w:rFonts w:eastAsia="Times New Roman"/>
                <w:color w:val="auto"/>
                <w:sz w:val="18"/>
                <w:szCs w:val="18"/>
                <w:lang w:val="es-ES" w:eastAsia="es-ES"/>
              </w:rPr>
              <w:t>Financiamiento Interno con afectación de recursos</w:t>
            </w:r>
          </w:p>
        </w:tc>
        <w:tc>
          <w:tcPr>
            <w:tcW w:w="1597" w:type="pct"/>
            <w:shd w:val="clear" w:color="auto" w:fill="auto"/>
          </w:tcPr>
          <w:p w14:paraId="6EB32AC6" w14:textId="77777777" w:rsidR="008B170C" w:rsidRPr="008B170C" w:rsidRDefault="008B170C" w:rsidP="008B170C">
            <w:pPr>
              <w:widowControl w:val="0"/>
              <w:autoSpaceDE w:val="0"/>
              <w:autoSpaceDN w:val="0"/>
              <w:spacing w:before="60" w:after="60" w:line="240" w:lineRule="auto"/>
              <w:ind w:left="0" w:right="0" w:firstLine="0"/>
              <w:rPr>
                <w:rFonts w:ascii="Times New Roman" w:eastAsia="Times New Roman" w:hAnsi="Times New Roman" w:cs="Times New Roman"/>
                <w:color w:val="auto"/>
                <w:szCs w:val="24"/>
                <w:lang w:val="es-ES" w:eastAsia="es-ES"/>
              </w:rPr>
            </w:pPr>
            <w:r w:rsidRPr="008B170C">
              <w:rPr>
                <w:color w:val="auto"/>
                <w:szCs w:val="24"/>
                <w:lang w:val="es-ES" w:eastAsia="es-ES"/>
              </w:rPr>
              <w:t>$        1,735,000,000.00</w:t>
            </w:r>
          </w:p>
        </w:tc>
      </w:tr>
      <w:tr w:rsidR="008B170C" w:rsidRPr="008B170C" w14:paraId="640D2FCF" w14:textId="77777777" w:rsidTr="00B114C3">
        <w:tc>
          <w:tcPr>
            <w:tcW w:w="664" w:type="pct"/>
            <w:shd w:val="clear" w:color="auto" w:fill="auto"/>
          </w:tcPr>
          <w:p w14:paraId="53A078EE" w14:textId="77777777" w:rsidR="008B170C" w:rsidRPr="008B170C" w:rsidRDefault="008B170C" w:rsidP="008B170C">
            <w:pPr>
              <w:widowControl w:val="0"/>
              <w:autoSpaceDE w:val="0"/>
              <w:autoSpaceDN w:val="0"/>
              <w:spacing w:before="60" w:after="60" w:line="240" w:lineRule="auto"/>
              <w:ind w:left="0" w:right="0" w:firstLine="0"/>
              <w:rPr>
                <w:rFonts w:eastAsia="Times New Roman"/>
                <w:color w:val="auto"/>
                <w:sz w:val="18"/>
                <w:szCs w:val="18"/>
                <w:lang w:val="es-ES" w:eastAsia="es-ES"/>
              </w:rPr>
            </w:pPr>
            <w:r w:rsidRPr="008B170C">
              <w:rPr>
                <w:rFonts w:eastAsia="Times New Roman"/>
                <w:color w:val="auto"/>
                <w:sz w:val="18"/>
                <w:szCs w:val="18"/>
                <w:lang w:val="es-ES" w:eastAsia="es-ES"/>
              </w:rPr>
              <w:t>0.3.2</w:t>
            </w:r>
          </w:p>
        </w:tc>
        <w:tc>
          <w:tcPr>
            <w:tcW w:w="2739" w:type="pct"/>
            <w:shd w:val="clear" w:color="auto" w:fill="auto"/>
          </w:tcPr>
          <w:p w14:paraId="4E4C146F" w14:textId="77777777" w:rsidR="008B170C" w:rsidRPr="008B170C" w:rsidRDefault="008B170C" w:rsidP="008B170C">
            <w:pPr>
              <w:widowControl w:val="0"/>
              <w:autoSpaceDE w:val="0"/>
              <w:autoSpaceDN w:val="0"/>
              <w:spacing w:before="60" w:after="60" w:line="240" w:lineRule="auto"/>
              <w:ind w:left="0" w:right="0" w:firstLine="0"/>
              <w:rPr>
                <w:rFonts w:eastAsia="Times New Roman"/>
                <w:color w:val="auto"/>
                <w:sz w:val="18"/>
                <w:szCs w:val="18"/>
                <w:lang w:val="es-ES" w:eastAsia="es-ES"/>
              </w:rPr>
            </w:pPr>
            <w:r w:rsidRPr="008B170C">
              <w:rPr>
                <w:rFonts w:eastAsia="Times New Roman"/>
                <w:color w:val="auto"/>
                <w:sz w:val="18"/>
                <w:szCs w:val="18"/>
                <w:lang w:val="es-ES" w:eastAsia="es-ES"/>
              </w:rPr>
              <w:t>Deuda estatal garantizada</w:t>
            </w:r>
          </w:p>
        </w:tc>
        <w:tc>
          <w:tcPr>
            <w:tcW w:w="1597" w:type="pct"/>
            <w:shd w:val="clear" w:color="auto" w:fill="auto"/>
          </w:tcPr>
          <w:p w14:paraId="57B8B539" w14:textId="77777777" w:rsidR="008B170C" w:rsidRPr="008B170C" w:rsidRDefault="008B170C" w:rsidP="008B170C">
            <w:pPr>
              <w:widowControl w:val="0"/>
              <w:autoSpaceDE w:val="0"/>
              <w:autoSpaceDN w:val="0"/>
              <w:spacing w:before="60" w:after="60" w:line="240" w:lineRule="auto"/>
              <w:ind w:left="0" w:right="0" w:firstLine="0"/>
              <w:jc w:val="left"/>
              <w:rPr>
                <w:rFonts w:ascii="Times New Roman" w:eastAsia="Times New Roman" w:hAnsi="Times New Roman" w:cs="Times New Roman"/>
                <w:color w:val="auto"/>
                <w:szCs w:val="24"/>
                <w:lang w:val="es-ES" w:eastAsia="es-ES"/>
              </w:rPr>
            </w:pPr>
            <w:r w:rsidRPr="008B170C">
              <w:rPr>
                <w:color w:val="auto"/>
                <w:szCs w:val="24"/>
                <w:lang w:val="es-ES" w:eastAsia="es-ES"/>
              </w:rPr>
              <w:t>$                             0.00</w:t>
            </w:r>
          </w:p>
        </w:tc>
      </w:tr>
    </w:tbl>
    <w:p w14:paraId="3CBE8B8C" w14:textId="77777777" w:rsidR="008B170C" w:rsidRPr="008B170C" w:rsidRDefault="008B170C" w:rsidP="008B170C">
      <w:pPr>
        <w:spacing w:after="0" w:line="240" w:lineRule="auto"/>
        <w:ind w:left="0" w:right="0" w:firstLine="0"/>
        <w:jc w:val="center"/>
        <w:rPr>
          <w:b/>
          <w:color w:val="auto"/>
          <w:sz w:val="22"/>
          <w:lang w:val="es-ES" w:eastAsia="es-ES"/>
        </w:rPr>
      </w:pPr>
    </w:p>
    <w:p w14:paraId="5DDA5826" w14:textId="77777777" w:rsidR="008B170C" w:rsidRDefault="008B170C" w:rsidP="008B170C">
      <w:pPr>
        <w:spacing w:after="0" w:line="240" w:lineRule="auto"/>
        <w:ind w:left="0" w:right="0" w:firstLine="0"/>
        <w:jc w:val="center"/>
        <w:rPr>
          <w:b/>
          <w:color w:val="auto"/>
          <w:sz w:val="22"/>
          <w:lang w:val="es-ES" w:eastAsia="es-ES"/>
        </w:rPr>
      </w:pPr>
    </w:p>
    <w:p w14:paraId="1C749541" w14:textId="77777777" w:rsidR="008B170C" w:rsidRDefault="008B170C" w:rsidP="008B170C">
      <w:pPr>
        <w:spacing w:after="0" w:line="240" w:lineRule="auto"/>
        <w:ind w:left="0" w:right="0" w:firstLine="0"/>
        <w:jc w:val="center"/>
        <w:rPr>
          <w:b/>
          <w:color w:val="auto"/>
          <w:sz w:val="22"/>
          <w:lang w:val="es-ES" w:eastAsia="es-ES"/>
        </w:rPr>
      </w:pPr>
    </w:p>
    <w:p w14:paraId="3F8EA439" w14:textId="77777777" w:rsidR="008B170C" w:rsidRDefault="008B170C" w:rsidP="008B170C">
      <w:pPr>
        <w:spacing w:after="0" w:line="240" w:lineRule="auto"/>
        <w:ind w:left="0" w:right="0" w:firstLine="0"/>
        <w:jc w:val="center"/>
        <w:rPr>
          <w:b/>
          <w:color w:val="auto"/>
          <w:sz w:val="22"/>
          <w:lang w:val="es-ES" w:eastAsia="es-ES"/>
        </w:rPr>
      </w:pPr>
    </w:p>
    <w:p w14:paraId="5E3EEEBB" w14:textId="77777777" w:rsidR="008B170C" w:rsidRDefault="008B170C" w:rsidP="008B170C">
      <w:pPr>
        <w:spacing w:after="0" w:line="240" w:lineRule="auto"/>
        <w:ind w:left="0" w:right="0" w:firstLine="0"/>
        <w:jc w:val="center"/>
        <w:rPr>
          <w:b/>
          <w:color w:val="auto"/>
          <w:sz w:val="22"/>
          <w:lang w:val="es-ES" w:eastAsia="es-ES"/>
        </w:rPr>
      </w:pPr>
    </w:p>
    <w:p w14:paraId="2F595579" w14:textId="77777777" w:rsidR="008B170C" w:rsidRDefault="008B170C" w:rsidP="008B170C">
      <w:pPr>
        <w:spacing w:after="0" w:line="240" w:lineRule="auto"/>
        <w:ind w:left="0" w:right="0" w:firstLine="0"/>
        <w:jc w:val="center"/>
        <w:rPr>
          <w:b/>
          <w:color w:val="auto"/>
          <w:sz w:val="22"/>
          <w:lang w:val="es-ES" w:eastAsia="es-ES"/>
        </w:rPr>
      </w:pPr>
    </w:p>
    <w:p w14:paraId="1130DF1F" w14:textId="77777777" w:rsidR="008B170C" w:rsidRDefault="008B170C" w:rsidP="008B170C">
      <w:pPr>
        <w:spacing w:after="0" w:line="240" w:lineRule="auto"/>
        <w:ind w:left="0" w:right="0" w:firstLine="0"/>
        <w:jc w:val="center"/>
        <w:rPr>
          <w:b/>
          <w:color w:val="auto"/>
          <w:sz w:val="22"/>
          <w:lang w:val="es-ES" w:eastAsia="es-ES"/>
        </w:rPr>
      </w:pPr>
    </w:p>
    <w:p w14:paraId="1AEC6BC6" w14:textId="77777777" w:rsidR="008B170C" w:rsidRDefault="008B170C" w:rsidP="008B170C">
      <w:pPr>
        <w:spacing w:after="0" w:line="240" w:lineRule="auto"/>
        <w:ind w:left="0" w:right="0" w:firstLine="0"/>
        <w:jc w:val="center"/>
        <w:rPr>
          <w:b/>
          <w:color w:val="auto"/>
          <w:sz w:val="22"/>
          <w:lang w:val="es-ES" w:eastAsia="es-ES"/>
        </w:rPr>
      </w:pPr>
    </w:p>
    <w:p w14:paraId="74FC55CB" w14:textId="77777777" w:rsidR="008B170C" w:rsidRPr="008B170C" w:rsidRDefault="008B170C" w:rsidP="008B170C">
      <w:pPr>
        <w:spacing w:after="0" w:line="240" w:lineRule="auto"/>
        <w:ind w:left="0" w:right="0" w:firstLine="0"/>
        <w:jc w:val="center"/>
        <w:rPr>
          <w:b/>
          <w:color w:val="auto"/>
          <w:sz w:val="22"/>
          <w:lang w:val="es-ES" w:eastAsia="es-ES"/>
        </w:rPr>
      </w:pPr>
      <w:r w:rsidRPr="008B170C">
        <w:rPr>
          <w:b/>
          <w:color w:val="auto"/>
          <w:sz w:val="22"/>
          <w:lang w:val="es-ES" w:eastAsia="es-ES"/>
        </w:rPr>
        <w:t>Transitorios</w:t>
      </w:r>
    </w:p>
    <w:p w14:paraId="0F744815" w14:textId="77777777" w:rsidR="008B170C" w:rsidRPr="008B170C" w:rsidRDefault="008B170C" w:rsidP="008B170C">
      <w:pPr>
        <w:spacing w:after="0" w:line="240" w:lineRule="auto"/>
        <w:ind w:left="0" w:right="0" w:firstLine="0"/>
        <w:rPr>
          <w:b/>
          <w:color w:val="auto"/>
          <w:sz w:val="22"/>
          <w:lang w:val="es-ES" w:eastAsia="es-ES"/>
        </w:rPr>
      </w:pPr>
    </w:p>
    <w:p w14:paraId="4B02A1DF" w14:textId="77777777" w:rsidR="008B170C" w:rsidRDefault="008B170C" w:rsidP="008B170C">
      <w:pPr>
        <w:spacing w:after="0" w:line="240" w:lineRule="auto"/>
        <w:ind w:left="0" w:right="0" w:firstLine="0"/>
        <w:rPr>
          <w:b/>
          <w:color w:val="auto"/>
          <w:sz w:val="22"/>
          <w:lang w:val="es-ES" w:eastAsia="es-ES"/>
        </w:rPr>
      </w:pPr>
    </w:p>
    <w:p w14:paraId="7AFE0080" w14:textId="77777777" w:rsidR="008B170C" w:rsidRP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 xml:space="preserve">Artículo primero. Entrada en vigor </w:t>
      </w:r>
    </w:p>
    <w:p w14:paraId="7D663B83" w14:textId="77777777" w:rsidR="008B170C" w:rsidRPr="008B170C" w:rsidRDefault="008B170C" w:rsidP="008B170C">
      <w:pPr>
        <w:spacing w:after="0" w:line="240" w:lineRule="auto"/>
        <w:ind w:left="0" w:right="0" w:firstLine="0"/>
        <w:rPr>
          <w:color w:val="auto"/>
          <w:sz w:val="22"/>
          <w:lang w:val="es-ES" w:eastAsia="es-ES"/>
        </w:rPr>
      </w:pPr>
    </w:p>
    <w:p w14:paraId="56060B19" w14:textId="77777777" w:rsid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Este decreto entrará en vigor el día siguiente al de su publicación en el Diario Oficial del Gobierno del Estado de Yucatán.</w:t>
      </w:r>
    </w:p>
    <w:p w14:paraId="77299F3C" w14:textId="77777777" w:rsidR="008B170C" w:rsidRPr="008B170C" w:rsidRDefault="008B170C" w:rsidP="008B170C">
      <w:pPr>
        <w:spacing w:after="0" w:line="240" w:lineRule="auto"/>
        <w:ind w:left="0" w:right="0" w:firstLine="0"/>
        <w:rPr>
          <w:color w:val="auto"/>
          <w:sz w:val="22"/>
          <w:lang w:val="es-ES" w:eastAsia="es-ES"/>
        </w:rPr>
      </w:pPr>
    </w:p>
    <w:p w14:paraId="40E49752" w14:textId="77777777" w:rsidR="008B170C" w:rsidRPr="008B170C" w:rsidRDefault="008B170C" w:rsidP="008B170C">
      <w:pPr>
        <w:spacing w:after="0" w:line="240" w:lineRule="auto"/>
        <w:ind w:left="0" w:right="0" w:firstLine="0"/>
        <w:rPr>
          <w:b/>
          <w:color w:val="auto"/>
          <w:sz w:val="22"/>
          <w:lang w:val="es-ES" w:eastAsia="es-ES"/>
        </w:rPr>
      </w:pPr>
    </w:p>
    <w:p w14:paraId="1C8E0B71" w14:textId="77777777" w:rsid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Artículo segundo. Inscripción en los registros</w:t>
      </w:r>
    </w:p>
    <w:p w14:paraId="12CEBC48" w14:textId="77777777" w:rsidR="008B170C" w:rsidRPr="008B170C" w:rsidRDefault="008B170C" w:rsidP="008B170C">
      <w:pPr>
        <w:spacing w:after="0" w:line="240" w:lineRule="auto"/>
        <w:ind w:left="0" w:right="0" w:firstLine="0"/>
        <w:rPr>
          <w:b/>
          <w:color w:val="auto"/>
          <w:sz w:val="22"/>
          <w:lang w:val="es-ES" w:eastAsia="es-ES"/>
        </w:rPr>
      </w:pPr>
    </w:p>
    <w:p w14:paraId="1059C20C" w14:textId="77777777" w:rsidR="008B170C" w:rsidRPr="008B170C" w:rsidRDefault="008B170C" w:rsidP="008B170C">
      <w:pPr>
        <w:spacing w:after="0" w:line="240" w:lineRule="auto"/>
        <w:ind w:left="0" w:right="0" w:firstLine="0"/>
        <w:rPr>
          <w:color w:val="auto"/>
          <w:sz w:val="22"/>
          <w:lang w:val="es-ES" w:eastAsia="es-ES"/>
        </w:rPr>
      </w:pPr>
    </w:p>
    <w:p w14:paraId="5E761196" w14:textId="77777777" w:rsid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El financiamiento o los financiamientos que se contraten al amparo de este decreto se deberán inscribir en el Registro de Empréstitos y Obligaciones del Estado de Yucatán, a cargo de la Secretaría de Administración y Finanzas, y en el Registro Público Único de Financiamientos y Obligaciones de Entidades Federativas y Municipios, a cargo de la Secretaría de Hacienda y Crédito Público.</w:t>
      </w:r>
    </w:p>
    <w:p w14:paraId="2019D6D2" w14:textId="77777777" w:rsidR="008B170C" w:rsidRPr="008B170C" w:rsidRDefault="008B170C" w:rsidP="008B170C">
      <w:pPr>
        <w:spacing w:after="0" w:line="240" w:lineRule="auto"/>
        <w:ind w:left="0" w:right="0" w:firstLine="0"/>
        <w:rPr>
          <w:color w:val="auto"/>
          <w:sz w:val="22"/>
          <w:lang w:val="es-ES" w:eastAsia="es-ES"/>
        </w:rPr>
      </w:pPr>
    </w:p>
    <w:p w14:paraId="728D8F6A" w14:textId="77777777" w:rsidR="008B170C" w:rsidRPr="008B170C" w:rsidRDefault="008B170C" w:rsidP="008B170C">
      <w:pPr>
        <w:spacing w:after="0" w:line="240" w:lineRule="auto"/>
        <w:ind w:left="0" w:right="0" w:firstLine="0"/>
        <w:rPr>
          <w:b/>
          <w:color w:val="auto"/>
          <w:sz w:val="22"/>
          <w:lang w:val="es-ES" w:eastAsia="es-ES"/>
        </w:rPr>
      </w:pPr>
    </w:p>
    <w:p w14:paraId="3BC3D33D" w14:textId="77777777" w:rsidR="008B170C" w:rsidRPr="008B170C" w:rsidRDefault="008B170C" w:rsidP="008B170C">
      <w:pPr>
        <w:spacing w:after="0" w:line="240" w:lineRule="auto"/>
        <w:ind w:left="0" w:right="0" w:firstLine="0"/>
        <w:rPr>
          <w:b/>
          <w:color w:val="auto"/>
          <w:sz w:val="22"/>
          <w:lang w:val="es-ES" w:eastAsia="es-ES"/>
        </w:rPr>
      </w:pPr>
      <w:r w:rsidRPr="008B170C">
        <w:rPr>
          <w:b/>
          <w:color w:val="auto"/>
          <w:sz w:val="22"/>
          <w:lang w:val="es-ES" w:eastAsia="es-ES"/>
        </w:rPr>
        <w:t>Artículo tercero. Adecuaciones presupuestales</w:t>
      </w:r>
    </w:p>
    <w:p w14:paraId="628B9D34" w14:textId="77777777" w:rsidR="008B170C" w:rsidRPr="008B170C" w:rsidRDefault="008B170C" w:rsidP="008B170C">
      <w:pPr>
        <w:spacing w:after="0" w:line="240" w:lineRule="auto"/>
        <w:ind w:left="0" w:right="0" w:firstLine="0"/>
        <w:rPr>
          <w:color w:val="auto"/>
          <w:sz w:val="22"/>
          <w:lang w:val="es-ES" w:eastAsia="es-ES"/>
        </w:rPr>
      </w:pPr>
    </w:p>
    <w:p w14:paraId="211AD020"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El Poder Ejecutivo del estado, con base en la autorización a que se refiere este decreto, y a efecto de prever el monto o partidas para el servicio de la deuda que contraiga al contratar el o los financiamientos autorizados, deberá realizar las adecuaciones presupuestales respectivas y las adecuaciones relativas al ejercicio de los recursos derivados del o los financiamientos, de conformidad con las disposiciones establecidas en la Ley del Presupuesto y Contabilidad Gubernamental del Estado de Yucatán y su reglamento.</w:t>
      </w:r>
    </w:p>
    <w:p w14:paraId="1CAF153F" w14:textId="77777777" w:rsidR="008B170C" w:rsidRPr="008B170C" w:rsidRDefault="008B170C" w:rsidP="008B170C">
      <w:pPr>
        <w:spacing w:after="0" w:line="240" w:lineRule="auto"/>
        <w:ind w:left="0" w:right="0" w:firstLine="0"/>
        <w:rPr>
          <w:color w:val="auto"/>
          <w:sz w:val="22"/>
          <w:lang w:val="es-ES" w:eastAsia="es-ES"/>
        </w:rPr>
      </w:pPr>
    </w:p>
    <w:p w14:paraId="03CEDF84" w14:textId="77777777" w:rsidR="008B170C" w:rsidRPr="008B170C" w:rsidRDefault="008B170C" w:rsidP="008B170C">
      <w:pPr>
        <w:spacing w:after="0" w:line="240" w:lineRule="auto"/>
        <w:ind w:left="0" w:right="0" w:firstLine="0"/>
        <w:rPr>
          <w:color w:val="auto"/>
          <w:sz w:val="22"/>
          <w:lang w:val="es-ES" w:eastAsia="es-ES"/>
        </w:rPr>
      </w:pPr>
      <w:r w:rsidRPr="008B170C">
        <w:rPr>
          <w:color w:val="auto"/>
          <w:sz w:val="22"/>
          <w:lang w:val="es-ES" w:eastAsia="es-ES"/>
        </w:rPr>
        <w:t>El Poder Ejecutivo del Estado aplicará los recursos derivados del o los financiamientos autorizados en el presente decreto, a través de la asignación o transferencia a las dependencias o entidades de la Administración Pública estatal encargadas de ejecutar la obra pública, infraestructura carretera, o desarrollo urbano, metropolitano y de movilidad o cualquier otra obra o erogación conexa del proyecto “</w:t>
      </w:r>
      <w:r w:rsidRPr="008B170C">
        <w:rPr>
          <w:rFonts w:eastAsia="Times New Roman"/>
          <w:color w:val="auto"/>
          <w:sz w:val="22"/>
          <w:lang w:val="es-ES" w:eastAsia="es-ES"/>
        </w:rPr>
        <w:t>IETRAM y Obras Complementarias</w:t>
      </w:r>
      <w:r w:rsidRPr="008B170C">
        <w:rPr>
          <w:color w:val="auto"/>
          <w:sz w:val="22"/>
          <w:lang w:val="es-ES" w:eastAsia="es-ES"/>
        </w:rPr>
        <w:t>”.</w:t>
      </w:r>
    </w:p>
    <w:p w14:paraId="32618553" w14:textId="77777777" w:rsidR="008B170C" w:rsidRDefault="008B170C" w:rsidP="008B170C">
      <w:pPr>
        <w:spacing w:after="0" w:line="240" w:lineRule="auto"/>
        <w:ind w:left="0" w:right="0" w:firstLine="0"/>
        <w:rPr>
          <w:b/>
          <w:color w:val="auto"/>
          <w:sz w:val="22"/>
          <w:lang w:val="es-ES" w:eastAsia="es-ES"/>
        </w:rPr>
      </w:pPr>
    </w:p>
    <w:p w14:paraId="3F08B9C2" w14:textId="77777777" w:rsidR="008B170C" w:rsidRDefault="008B170C" w:rsidP="008B170C">
      <w:pPr>
        <w:spacing w:after="0" w:line="240" w:lineRule="auto"/>
        <w:ind w:left="0" w:right="0" w:firstLine="0"/>
        <w:rPr>
          <w:b/>
          <w:color w:val="auto"/>
          <w:sz w:val="22"/>
          <w:lang w:val="es-ES" w:eastAsia="es-ES"/>
        </w:rPr>
      </w:pPr>
    </w:p>
    <w:p w14:paraId="4CCB27D5" w14:textId="77777777" w:rsidR="008B170C" w:rsidRDefault="008B170C" w:rsidP="008B170C">
      <w:pPr>
        <w:spacing w:after="0" w:line="240" w:lineRule="auto"/>
        <w:ind w:left="0" w:right="0" w:firstLine="0"/>
        <w:rPr>
          <w:b/>
          <w:color w:val="auto"/>
          <w:sz w:val="22"/>
          <w:lang w:val="es-ES" w:eastAsia="es-ES"/>
        </w:rPr>
      </w:pPr>
    </w:p>
    <w:p w14:paraId="28C406D9" w14:textId="77777777" w:rsidR="008B170C" w:rsidRDefault="008B170C" w:rsidP="008B170C">
      <w:pPr>
        <w:spacing w:after="0" w:line="240" w:lineRule="auto"/>
        <w:ind w:left="0" w:right="0" w:firstLine="0"/>
        <w:rPr>
          <w:b/>
          <w:color w:val="auto"/>
          <w:sz w:val="22"/>
          <w:lang w:val="es-ES" w:eastAsia="es-ES"/>
        </w:rPr>
      </w:pPr>
    </w:p>
    <w:p w14:paraId="03477EF7" w14:textId="77777777" w:rsidR="008B170C" w:rsidRDefault="008B170C" w:rsidP="008B170C">
      <w:pPr>
        <w:spacing w:after="0" w:line="240" w:lineRule="auto"/>
        <w:ind w:left="0" w:right="0" w:firstLine="0"/>
        <w:rPr>
          <w:b/>
          <w:color w:val="auto"/>
          <w:sz w:val="22"/>
          <w:lang w:val="es-ES" w:eastAsia="es-ES"/>
        </w:rPr>
      </w:pPr>
    </w:p>
    <w:p w14:paraId="68DE6BD2" w14:textId="77777777" w:rsidR="008B170C" w:rsidRDefault="008B170C" w:rsidP="008B170C">
      <w:pPr>
        <w:spacing w:after="0" w:line="240" w:lineRule="auto"/>
        <w:ind w:left="0" w:right="0" w:firstLine="0"/>
        <w:rPr>
          <w:b/>
          <w:color w:val="auto"/>
          <w:sz w:val="22"/>
          <w:lang w:val="es-ES" w:eastAsia="es-ES"/>
        </w:rPr>
      </w:pPr>
    </w:p>
    <w:p w14:paraId="37DB49EF" w14:textId="77777777" w:rsidR="008B170C" w:rsidRDefault="008B170C" w:rsidP="008B170C">
      <w:pPr>
        <w:spacing w:after="0" w:line="240" w:lineRule="auto"/>
        <w:ind w:left="0" w:right="0" w:firstLine="0"/>
        <w:rPr>
          <w:b/>
          <w:color w:val="auto"/>
          <w:sz w:val="22"/>
          <w:lang w:val="es-ES" w:eastAsia="es-ES"/>
        </w:rPr>
      </w:pPr>
    </w:p>
    <w:p w14:paraId="72B01CDA" w14:textId="77777777" w:rsidR="008B170C" w:rsidRDefault="008B170C" w:rsidP="008B170C">
      <w:pPr>
        <w:spacing w:after="0" w:line="240" w:lineRule="auto"/>
        <w:ind w:left="0" w:right="0" w:firstLine="0"/>
        <w:rPr>
          <w:b/>
          <w:color w:val="auto"/>
          <w:sz w:val="22"/>
          <w:lang w:val="es-ES" w:eastAsia="es-ES"/>
        </w:rPr>
      </w:pPr>
    </w:p>
    <w:p w14:paraId="694FDEE3" w14:textId="77777777" w:rsidR="008B170C" w:rsidRDefault="008B170C" w:rsidP="008B170C">
      <w:pPr>
        <w:spacing w:after="0" w:line="240" w:lineRule="auto"/>
        <w:ind w:left="0" w:right="0" w:firstLine="0"/>
        <w:rPr>
          <w:b/>
          <w:color w:val="auto"/>
          <w:sz w:val="22"/>
          <w:lang w:val="es-ES" w:eastAsia="es-ES"/>
        </w:rPr>
      </w:pPr>
    </w:p>
    <w:p w14:paraId="3826A8DF" w14:textId="77777777" w:rsidR="008B170C" w:rsidRDefault="008B170C" w:rsidP="008B170C">
      <w:pPr>
        <w:spacing w:after="0" w:line="240" w:lineRule="auto"/>
        <w:ind w:left="0" w:right="0" w:firstLine="0"/>
        <w:rPr>
          <w:b/>
          <w:color w:val="auto"/>
          <w:sz w:val="22"/>
          <w:lang w:val="es-ES" w:eastAsia="es-ES"/>
        </w:rPr>
      </w:pPr>
    </w:p>
    <w:p w14:paraId="3E2936E6" w14:textId="77777777" w:rsidR="008B170C" w:rsidRDefault="008B170C" w:rsidP="008B170C">
      <w:pPr>
        <w:spacing w:after="0" w:line="240" w:lineRule="auto"/>
        <w:ind w:left="0" w:right="0" w:firstLine="0"/>
        <w:rPr>
          <w:b/>
          <w:color w:val="auto"/>
          <w:sz w:val="22"/>
          <w:lang w:val="es-ES" w:eastAsia="es-ES"/>
        </w:rPr>
      </w:pPr>
    </w:p>
    <w:p w14:paraId="4E2BDEC2" w14:textId="77777777" w:rsidR="008B170C" w:rsidRDefault="008B170C" w:rsidP="008B170C">
      <w:pPr>
        <w:spacing w:after="0" w:line="240" w:lineRule="auto"/>
        <w:ind w:left="0" w:right="0" w:firstLine="0"/>
        <w:rPr>
          <w:b/>
          <w:color w:val="auto"/>
          <w:sz w:val="22"/>
          <w:lang w:val="es-ES" w:eastAsia="es-ES"/>
        </w:rPr>
      </w:pPr>
    </w:p>
    <w:p w14:paraId="624487BC" w14:textId="77777777" w:rsidR="008B170C" w:rsidRPr="008B170C" w:rsidRDefault="008B170C" w:rsidP="008B170C">
      <w:pPr>
        <w:spacing w:after="0" w:line="240" w:lineRule="auto"/>
        <w:ind w:left="0" w:right="0" w:firstLine="0"/>
        <w:rPr>
          <w:rFonts w:eastAsia="Times New Roman"/>
          <w:b/>
          <w:bCs/>
          <w:color w:val="auto"/>
          <w:sz w:val="22"/>
          <w:lang w:val="es-ES" w:eastAsia="es-ES"/>
        </w:rPr>
      </w:pPr>
      <w:bookmarkStart w:id="0" w:name="_GoBack"/>
      <w:bookmarkEnd w:id="0"/>
      <w:r w:rsidRPr="008B170C">
        <w:rPr>
          <w:b/>
          <w:color w:val="auto"/>
          <w:sz w:val="22"/>
          <w:lang w:val="es-ES" w:eastAsia="es-ES"/>
        </w:rPr>
        <w:t>Artículo cuarto.</w:t>
      </w:r>
      <w:r w:rsidRPr="008B170C">
        <w:rPr>
          <w:color w:val="auto"/>
          <w:sz w:val="22"/>
          <w:lang w:val="es-ES" w:eastAsia="es-ES"/>
        </w:rPr>
        <w:t xml:space="preserve"> </w:t>
      </w:r>
      <w:r w:rsidRPr="008B170C">
        <w:rPr>
          <w:rFonts w:eastAsia="Times New Roman"/>
          <w:b/>
          <w:bCs/>
          <w:color w:val="auto"/>
          <w:sz w:val="22"/>
          <w:lang w:val="es-ES" w:eastAsia="es-ES"/>
        </w:rPr>
        <w:t>Análisis de destino y capacidad de pago</w:t>
      </w:r>
    </w:p>
    <w:p w14:paraId="7A18152E" w14:textId="77777777" w:rsidR="008B170C" w:rsidRPr="008B170C" w:rsidRDefault="008B170C" w:rsidP="008B170C">
      <w:pPr>
        <w:spacing w:after="0" w:line="240" w:lineRule="auto"/>
        <w:ind w:left="0" w:right="0" w:firstLine="0"/>
        <w:rPr>
          <w:rFonts w:eastAsia="Times New Roman"/>
          <w:color w:val="auto"/>
          <w:sz w:val="22"/>
          <w:lang w:val="es-ES" w:eastAsia="es-ES"/>
        </w:rPr>
      </w:pPr>
    </w:p>
    <w:p w14:paraId="08F17668" w14:textId="77777777" w:rsidR="008B170C" w:rsidRPr="008B170C" w:rsidRDefault="008B170C" w:rsidP="008B170C">
      <w:pPr>
        <w:spacing w:after="0" w:line="240" w:lineRule="auto"/>
        <w:ind w:left="0" w:right="0" w:firstLine="0"/>
        <w:rPr>
          <w:color w:val="auto"/>
          <w:sz w:val="22"/>
        </w:rPr>
      </w:pPr>
      <w:r w:rsidRPr="008B170C">
        <w:rPr>
          <w:rFonts w:eastAsia="Times New Roman"/>
          <w:color w:val="auto"/>
          <w:sz w:val="22"/>
          <w:lang w:val="es-ES" w:eastAsia="es-ES"/>
        </w:rPr>
        <w:t>Este decreto fue aprobado por el voto de, al menos, dos terceras partes de las diputadas y los diputados presentes en la sesión respectiva del Congreso del Estado de Yucatán, de conformidad con el artículo 117, fracción VIII, de la Constitución Política de los Estados Unidos Mexicanos, y previo análisis del destino de los recursos autorizados al amparo de este decreto, de la capacidad de pago y de la situación de la deuda pública del estado de Yucatán, y de los recursos a otorgarse como fuente de pago.</w:t>
      </w:r>
    </w:p>
    <w:p w14:paraId="32582E74" w14:textId="77777777" w:rsidR="008B170C" w:rsidRPr="008B170C" w:rsidRDefault="008B170C" w:rsidP="008B170C">
      <w:pPr>
        <w:spacing w:after="0" w:line="240" w:lineRule="auto"/>
        <w:ind w:left="0" w:right="0" w:firstLine="0"/>
        <w:rPr>
          <w:color w:val="auto"/>
          <w:sz w:val="22"/>
        </w:rPr>
      </w:pPr>
    </w:p>
    <w:p w14:paraId="136E2A98" w14:textId="5EB2DCB8" w:rsidR="00360FAE" w:rsidRPr="0007113A" w:rsidRDefault="00360FAE" w:rsidP="0007113A">
      <w:pPr>
        <w:tabs>
          <w:tab w:val="left" w:pos="4678"/>
        </w:tabs>
        <w:spacing w:after="0" w:line="240" w:lineRule="auto"/>
        <w:ind w:left="0" w:right="0" w:hanging="11"/>
        <w:rPr>
          <w:b/>
          <w:bCs/>
          <w:sz w:val="22"/>
        </w:rPr>
      </w:pPr>
      <w:r w:rsidRPr="0007113A">
        <w:rPr>
          <w:b/>
          <w:bCs/>
          <w:sz w:val="22"/>
        </w:rPr>
        <w:t xml:space="preserve">DADO EN LA SEDE DEL RECINTO DEL PODER LEGISLATIVO EN LA CIUDAD DE MÉRIDA, YUCATÁN, ESTADOS UNIDOS MEXICANOS A LOS </w:t>
      </w:r>
      <w:r w:rsidR="008B170C">
        <w:rPr>
          <w:b/>
          <w:bCs/>
          <w:sz w:val="22"/>
        </w:rPr>
        <w:t>TREINTA</w:t>
      </w:r>
      <w:r w:rsidR="0007113A" w:rsidRPr="0007113A">
        <w:rPr>
          <w:b/>
          <w:bCs/>
          <w:sz w:val="22"/>
        </w:rPr>
        <w:t xml:space="preserve"> </w:t>
      </w:r>
      <w:r w:rsidR="00B06DA7" w:rsidRPr="0007113A">
        <w:rPr>
          <w:b/>
          <w:bCs/>
          <w:sz w:val="22"/>
        </w:rPr>
        <w:t>DÍAS DEL MES DE JUNIO</w:t>
      </w:r>
      <w:r w:rsidRPr="0007113A">
        <w:rPr>
          <w:b/>
          <w:bCs/>
          <w:sz w:val="22"/>
        </w:rPr>
        <w:t xml:space="preserve"> DEL AÑO DOS MIL VEINTIDÓS.</w:t>
      </w:r>
    </w:p>
    <w:p w14:paraId="069069C2" w14:textId="77777777" w:rsidR="00062A97" w:rsidRPr="0007113A" w:rsidRDefault="00062A97" w:rsidP="0007113A">
      <w:pPr>
        <w:tabs>
          <w:tab w:val="left" w:pos="4678"/>
        </w:tabs>
        <w:spacing w:after="0" w:line="240" w:lineRule="auto"/>
        <w:ind w:left="0" w:right="0" w:hanging="11"/>
        <w:rPr>
          <w:sz w:val="22"/>
        </w:rPr>
      </w:pPr>
    </w:p>
    <w:p w14:paraId="0464BA3A" w14:textId="77777777" w:rsidR="00360FAE" w:rsidRDefault="00360FAE" w:rsidP="0007113A">
      <w:pPr>
        <w:spacing w:after="0" w:line="240" w:lineRule="auto"/>
        <w:ind w:left="0" w:right="0"/>
        <w:jc w:val="center"/>
        <w:rPr>
          <w:b/>
          <w:caps/>
          <w:sz w:val="22"/>
        </w:rPr>
      </w:pPr>
    </w:p>
    <w:p w14:paraId="67AB8CDF" w14:textId="77777777" w:rsidR="008B170C" w:rsidRPr="0007113A" w:rsidRDefault="008B170C" w:rsidP="0007113A">
      <w:pPr>
        <w:spacing w:after="0" w:line="240" w:lineRule="auto"/>
        <w:ind w:left="0" w:right="0"/>
        <w:jc w:val="center"/>
        <w:rPr>
          <w:b/>
          <w:caps/>
          <w:sz w:val="22"/>
        </w:rPr>
      </w:pPr>
    </w:p>
    <w:p w14:paraId="2748EE9B" w14:textId="78FAF040" w:rsidR="00360FAE" w:rsidRPr="0007113A" w:rsidRDefault="00D65D63" w:rsidP="0007113A">
      <w:pPr>
        <w:spacing w:after="0" w:line="240" w:lineRule="auto"/>
        <w:ind w:left="0" w:right="0" w:hanging="11"/>
        <w:jc w:val="center"/>
        <w:rPr>
          <w:b/>
          <w:sz w:val="22"/>
        </w:rPr>
      </w:pPr>
      <w:r w:rsidRPr="0007113A">
        <w:rPr>
          <w:b/>
          <w:sz w:val="22"/>
        </w:rPr>
        <w:t>PRESIDENTA</w:t>
      </w:r>
    </w:p>
    <w:p w14:paraId="33F6783E" w14:textId="77777777" w:rsidR="00360FAE" w:rsidRPr="0007113A" w:rsidRDefault="00360FAE" w:rsidP="0007113A">
      <w:pPr>
        <w:spacing w:after="0" w:line="240" w:lineRule="auto"/>
        <w:ind w:left="0" w:right="0" w:hanging="11"/>
        <w:jc w:val="center"/>
        <w:rPr>
          <w:b/>
          <w:sz w:val="22"/>
        </w:rPr>
      </w:pPr>
    </w:p>
    <w:p w14:paraId="116FA463" w14:textId="77777777" w:rsidR="00360FAE" w:rsidRPr="0007113A" w:rsidRDefault="00360FAE" w:rsidP="0007113A">
      <w:pPr>
        <w:spacing w:after="0" w:line="240" w:lineRule="auto"/>
        <w:ind w:left="0" w:right="0" w:hanging="11"/>
        <w:jc w:val="center"/>
        <w:rPr>
          <w:b/>
          <w:sz w:val="22"/>
        </w:rPr>
      </w:pPr>
    </w:p>
    <w:p w14:paraId="030236D8" w14:textId="77777777" w:rsidR="00360FAE" w:rsidRPr="0007113A" w:rsidRDefault="00360FAE" w:rsidP="0007113A">
      <w:pPr>
        <w:spacing w:after="0" w:line="240" w:lineRule="auto"/>
        <w:ind w:left="0" w:right="0" w:hanging="11"/>
        <w:jc w:val="center"/>
        <w:rPr>
          <w:b/>
          <w:sz w:val="22"/>
        </w:rPr>
      </w:pPr>
    </w:p>
    <w:p w14:paraId="06FEBDE3" w14:textId="77777777" w:rsidR="00360FAE" w:rsidRPr="0007113A" w:rsidRDefault="00360FAE" w:rsidP="0007113A">
      <w:pPr>
        <w:spacing w:after="0" w:line="240" w:lineRule="auto"/>
        <w:ind w:left="0" w:right="0" w:hanging="11"/>
        <w:jc w:val="center"/>
        <w:rPr>
          <w:b/>
          <w:sz w:val="22"/>
        </w:rPr>
      </w:pPr>
      <w:r w:rsidRPr="0007113A">
        <w:rPr>
          <w:b/>
          <w:sz w:val="22"/>
        </w:rPr>
        <w:t>DIP. INGRID DEL PILAR SANTOS DÍAZ.</w:t>
      </w:r>
    </w:p>
    <w:p w14:paraId="75C75088" w14:textId="77777777" w:rsidR="00360FAE" w:rsidRPr="0007113A" w:rsidRDefault="00360FAE" w:rsidP="0007113A">
      <w:pPr>
        <w:spacing w:after="0" w:line="240" w:lineRule="auto"/>
        <w:ind w:left="0" w:right="0" w:hanging="11"/>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360FAE" w:rsidRPr="0007113A" w14:paraId="3E2F9337" w14:textId="77777777" w:rsidTr="0018503A">
        <w:trPr>
          <w:trHeight w:val="1215"/>
          <w:jc w:val="center"/>
        </w:trPr>
        <w:tc>
          <w:tcPr>
            <w:tcW w:w="5032" w:type="dxa"/>
          </w:tcPr>
          <w:p w14:paraId="7A696289" w14:textId="1D2A1C82" w:rsidR="00360FAE" w:rsidRPr="0007113A" w:rsidRDefault="00D65D63" w:rsidP="0007113A">
            <w:pPr>
              <w:spacing w:after="0" w:line="240" w:lineRule="auto"/>
              <w:ind w:left="0" w:right="0" w:hanging="11"/>
              <w:jc w:val="center"/>
              <w:rPr>
                <w:b/>
                <w:sz w:val="22"/>
              </w:rPr>
            </w:pPr>
            <w:r w:rsidRPr="0007113A">
              <w:rPr>
                <w:b/>
                <w:sz w:val="22"/>
              </w:rPr>
              <w:t>SECRETARIO</w:t>
            </w:r>
          </w:p>
          <w:p w14:paraId="37F61D54" w14:textId="77777777" w:rsidR="00360FAE" w:rsidRPr="0007113A" w:rsidRDefault="00360FAE" w:rsidP="0007113A">
            <w:pPr>
              <w:spacing w:after="0" w:line="240" w:lineRule="auto"/>
              <w:ind w:left="0" w:right="0" w:hanging="11"/>
              <w:jc w:val="center"/>
              <w:rPr>
                <w:b/>
                <w:sz w:val="22"/>
              </w:rPr>
            </w:pPr>
          </w:p>
          <w:p w14:paraId="77CFE738" w14:textId="77777777" w:rsidR="00360FAE" w:rsidRPr="0007113A" w:rsidRDefault="00360FAE" w:rsidP="0007113A">
            <w:pPr>
              <w:spacing w:after="0" w:line="240" w:lineRule="auto"/>
              <w:ind w:left="0" w:right="0" w:hanging="11"/>
              <w:jc w:val="center"/>
              <w:rPr>
                <w:b/>
                <w:sz w:val="22"/>
              </w:rPr>
            </w:pPr>
          </w:p>
          <w:p w14:paraId="7DE64906" w14:textId="77777777" w:rsidR="00360FAE" w:rsidRPr="0007113A" w:rsidRDefault="00360FAE" w:rsidP="0007113A">
            <w:pPr>
              <w:spacing w:after="0" w:line="240" w:lineRule="auto"/>
              <w:ind w:left="0" w:right="0" w:hanging="11"/>
              <w:jc w:val="center"/>
              <w:rPr>
                <w:b/>
                <w:sz w:val="22"/>
              </w:rPr>
            </w:pPr>
          </w:p>
          <w:p w14:paraId="068C6AC9" w14:textId="77777777" w:rsidR="00360FAE" w:rsidRPr="0007113A" w:rsidRDefault="00360FAE" w:rsidP="0007113A">
            <w:pPr>
              <w:spacing w:after="0" w:line="240" w:lineRule="auto"/>
              <w:ind w:left="0" w:right="0" w:hanging="11"/>
              <w:jc w:val="center"/>
              <w:rPr>
                <w:b/>
                <w:bCs/>
                <w:sz w:val="22"/>
              </w:rPr>
            </w:pPr>
            <w:r w:rsidRPr="0007113A">
              <w:rPr>
                <w:b/>
                <w:sz w:val="22"/>
              </w:rPr>
              <w:t xml:space="preserve">DIP. </w:t>
            </w:r>
            <w:r w:rsidRPr="0007113A">
              <w:rPr>
                <w:b/>
                <w:bCs/>
                <w:sz w:val="22"/>
              </w:rPr>
              <w:t xml:space="preserve">RAÚL ANTONIO ROMERO </w:t>
            </w:r>
          </w:p>
          <w:p w14:paraId="53E96162" w14:textId="77777777" w:rsidR="00360FAE" w:rsidRPr="0007113A" w:rsidRDefault="00360FAE" w:rsidP="0007113A">
            <w:pPr>
              <w:spacing w:after="0" w:line="240" w:lineRule="auto"/>
              <w:ind w:left="0" w:right="0" w:hanging="11"/>
              <w:jc w:val="center"/>
              <w:rPr>
                <w:b/>
                <w:sz w:val="22"/>
              </w:rPr>
            </w:pPr>
            <w:r w:rsidRPr="0007113A">
              <w:rPr>
                <w:b/>
                <w:bCs/>
                <w:sz w:val="22"/>
              </w:rPr>
              <w:t>CHEL</w:t>
            </w:r>
            <w:r w:rsidRPr="0007113A">
              <w:rPr>
                <w:b/>
                <w:sz w:val="22"/>
              </w:rPr>
              <w:t>.</w:t>
            </w:r>
          </w:p>
        </w:tc>
        <w:tc>
          <w:tcPr>
            <w:tcW w:w="4831" w:type="dxa"/>
          </w:tcPr>
          <w:p w14:paraId="3B49C791" w14:textId="3E640A33" w:rsidR="00360FAE" w:rsidRPr="0007113A" w:rsidRDefault="00665D44" w:rsidP="0007113A">
            <w:pPr>
              <w:spacing w:after="0" w:line="240" w:lineRule="auto"/>
              <w:ind w:left="0" w:right="0" w:hanging="11"/>
              <w:jc w:val="center"/>
              <w:rPr>
                <w:b/>
                <w:sz w:val="22"/>
              </w:rPr>
            </w:pPr>
            <w:r w:rsidRPr="0007113A">
              <w:rPr>
                <w:b/>
                <w:sz w:val="22"/>
              </w:rPr>
              <w:t>SECRETARIA</w:t>
            </w:r>
          </w:p>
          <w:p w14:paraId="1879CCC9" w14:textId="77777777" w:rsidR="00360FAE" w:rsidRPr="0007113A" w:rsidRDefault="00360FAE" w:rsidP="0007113A">
            <w:pPr>
              <w:spacing w:after="0" w:line="240" w:lineRule="auto"/>
              <w:ind w:left="0" w:right="0" w:hanging="11"/>
              <w:jc w:val="center"/>
              <w:rPr>
                <w:b/>
                <w:sz w:val="22"/>
              </w:rPr>
            </w:pPr>
          </w:p>
          <w:p w14:paraId="13B1FCF6" w14:textId="77777777" w:rsidR="00360FAE" w:rsidRPr="0007113A" w:rsidRDefault="00360FAE" w:rsidP="0007113A">
            <w:pPr>
              <w:spacing w:after="0" w:line="240" w:lineRule="auto"/>
              <w:ind w:left="0" w:right="0" w:hanging="11"/>
              <w:jc w:val="center"/>
              <w:rPr>
                <w:b/>
                <w:sz w:val="22"/>
              </w:rPr>
            </w:pPr>
          </w:p>
          <w:p w14:paraId="2E4216DA" w14:textId="77777777" w:rsidR="00360FAE" w:rsidRPr="0007113A" w:rsidRDefault="00360FAE" w:rsidP="0007113A">
            <w:pPr>
              <w:spacing w:after="0" w:line="240" w:lineRule="auto"/>
              <w:ind w:left="0" w:right="0" w:hanging="11"/>
              <w:jc w:val="center"/>
              <w:rPr>
                <w:b/>
                <w:sz w:val="22"/>
              </w:rPr>
            </w:pPr>
          </w:p>
          <w:p w14:paraId="3873667D" w14:textId="70BA44A2" w:rsidR="00360FAE" w:rsidRPr="0007113A" w:rsidRDefault="00360FAE" w:rsidP="0007113A">
            <w:pPr>
              <w:spacing w:after="0" w:line="240" w:lineRule="auto"/>
              <w:ind w:left="0" w:right="0" w:hanging="11"/>
              <w:jc w:val="center"/>
              <w:rPr>
                <w:b/>
                <w:sz w:val="22"/>
              </w:rPr>
            </w:pPr>
            <w:r w:rsidRPr="0007113A">
              <w:rPr>
                <w:b/>
                <w:sz w:val="22"/>
              </w:rPr>
              <w:t xml:space="preserve">DIP. </w:t>
            </w:r>
            <w:r w:rsidR="00665D44" w:rsidRPr="0007113A">
              <w:rPr>
                <w:b/>
                <w:sz w:val="22"/>
              </w:rPr>
              <w:t>ALEJANDRA DE LOS ÁNGELES NOVELO SEGURA</w:t>
            </w:r>
            <w:r w:rsidRPr="0007113A">
              <w:rPr>
                <w:b/>
                <w:sz w:val="22"/>
              </w:rPr>
              <w:t>.</w:t>
            </w:r>
          </w:p>
        </w:tc>
      </w:tr>
    </w:tbl>
    <w:p w14:paraId="422F7B99" w14:textId="77777777" w:rsidR="00360FAE" w:rsidRPr="0007113A" w:rsidRDefault="00360FAE" w:rsidP="0007113A">
      <w:pPr>
        <w:autoSpaceDE w:val="0"/>
        <w:autoSpaceDN w:val="0"/>
        <w:adjustRightInd w:val="0"/>
        <w:spacing w:after="0" w:line="240" w:lineRule="auto"/>
        <w:ind w:left="0"/>
        <w:rPr>
          <w:sz w:val="22"/>
        </w:rPr>
      </w:pPr>
    </w:p>
    <w:sectPr w:rsidR="00360FAE" w:rsidRPr="0007113A" w:rsidSect="004F2EAB">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A0ABE" w:rsidRDefault="003A0ABE">
      <w:pPr>
        <w:spacing w:after="0" w:line="240" w:lineRule="auto"/>
      </w:pPr>
      <w:r>
        <w:separator/>
      </w:r>
    </w:p>
  </w:endnote>
  <w:endnote w:type="continuationSeparator" w:id="0">
    <w:p w14:paraId="0BE5EA32" w14:textId="77777777" w:rsidR="003A0ABE" w:rsidRDefault="003A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A0ABE" w:rsidRDefault="003A0A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59A51748" w14:textId="0F6AF3ED" w:rsidR="003A0ABE" w:rsidRPr="00900C30" w:rsidRDefault="003A0ABE" w:rsidP="00C426D8">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8B170C" w:rsidRPr="008B170C">
          <w:rPr>
            <w:rFonts w:ascii="Arial" w:hAnsi="Arial" w:cs="Arial"/>
            <w:noProof/>
            <w:lang w:val="es-ES"/>
          </w:rPr>
          <w:t>6</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A0ABE" w:rsidRDefault="003A0A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A0ABE" w:rsidRDefault="003A0ABE">
      <w:pPr>
        <w:spacing w:after="0" w:line="251" w:lineRule="auto"/>
        <w:ind w:left="710" w:right="0" w:firstLine="0"/>
      </w:pPr>
      <w:r>
        <w:separator/>
      </w:r>
    </w:p>
  </w:footnote>
  <w:footnote w:type="continuationSeparator" w:id="0">
    <w:p w14:paraId="33216870" w14:textId="77777777" w:rsidR="003A0ABE" w:rsidRDefault="003A0ABE">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A0ABE" w:rsidRDefault="003A0ABE">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A0ABE" w:rsidRDefault="003A0A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A0ABE" w:rsidRDefault="003A0ABE">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v:textbox>
            </v:shape>
          </w:pict>
        </mc:Fallback>
      </mc:AlternateContent>
    </w:r>
  </w:p>
  <w:p w14:paraId="3D244AD1" w14:textId="77777777" w:rsidR="003A0ABE" w:rsidRDefault="003A0ABE" w:rsidP="00CF51E1">
    <w:pPr>
      <w:pStyle w:val="Encabezado"/>
      <w:tabs>
        <w:tab w:val="clear" w:pos="4252"/>
        <w:tab w:val="clear" w:pos="8504"/>
        <w:tab w:val="left" w:pos="735"/>
      </w:tabs>
    </w:pPr>
    <w:r>
      <w:tab/>
    </w:r>
  </w:p>
  <w:p w14:paraId="345715B5" w14:textId="7156A4C6" w:rsidR="003A0ABE" w:rsidRDefault="003A0ABE">
    <w:pPr>
      <w:spacing w:after="0" w:line="244" w:lineRule="auto"/>
      <w:ind w:left="0" w:right="0" w:firstLine="0"/>
      <w:jc w:val="center"/>
    </w:pPr>
  </w:p>
  <w:p w14:paraId="1037E0C5" w14:textId="23FC34D2" w:rsidR="003A0ABE" w:rsidRDefault="003A0ABE">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A0ABE" w:rsidRDefault="003A0ABE">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A0ABE" w:rsidRDefault="003A0A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F51E8"/>
    <w:multiLevelType w:val="multilevel"/>
    <w:tmpl w:val="2FB23846"/>
    <w:lvl w:ilvl="0">
      <w:start w:val="20"/>
      <w:numFmt w:val="upperRoman"/>
      <w:lvlText w:val="%1.-"/>
      <w:lvlJc w:val="left"/>
      <w:pPr>
        <w:ind w:left="143" w:firstLine="397"/>
      </w:pPr>
      <w:rPr>
        <w:rFonts w:hint="default"/>
        <w:b/>
        <w:i w:val="0"/>
      </w:rPr>
    </w:lvl>
    <w:lvl w:ilvl="1">
      <w:start w:val="1"/>
      <w:numFmt w:val="lowerLetter"/>
      <w:lvlText w:val="%2."/>
      <w:lvlJc w:val="left"/>
      <w:pPr>
        <w:ind w:left="1583" w:hanging="360"/>
      </w:pPr>
      <w:rPr>
        <w:rFonts w:hint="default"/>
      </w:rPr>
    </w:lvl>
    <w:lvl w:ilvl="2">
      <w:start w:val="1"/>
      <w:numFmt w:val="lowerRoman"/>
      <w:lvlText w:val="%3."/>
      <w:lvlJc w:val="right"/>
      <w:pPr>
        <w:ind w:left="2303" w:hanging="180"/>
      </w:pPr>
      <w:rPr>
        <w:rFonts w:hint="default"/>
      </w:rPr>
    </w:lvl>
    <w:lvl w:ilvl="3">
      <w:start w:val="1"/>
      <w:numFmt w:val="decimal"/>
      <w:lvlText w:val="%4."/>
      <w:lvlJc w:val="left"/>
      <w:pPr>
        <w:ind w:left="3023" w:hanging="360"/>
      </w:pPr>
      <w:rPr>
        <w:rFonts w:hint="default"/>
      </w:rPr>
    </w:lvl>
    <w:lvl w:ilvl="4">
      <w:start w:val="1"/>
      <w:numFmt w:val="lowerLetter"/>
      <w:lvlText w:val="%5."/>
      <w:lvlJc w:val="left"/>
      <w:pPr>
        <w:ind w:left="3743" w:hanging="360"/>
      </w:pPr>
      <w:rPr>
        <w:rFonts w:hint="default"/>
      </w:rPr>
    </w:lvl>
    <w:lvl w:ilvl="5">
      <w:start w:val="1"/>
      <w:numFmt w:val="lowerRoman"/>
      <w:lvlText w:val="%6."/>
      <w:lvlJc w:val="right"/>
      <w:pPr>
        <w:ind w:left="4463" w:hanging="180"/>
      </w:pPr>
      <w:rPr>
        <w:rFonts w:hint="default"/>
      </w:rPr>
    </w:lvl>
    <w:lvl w:ilvl="6">
      <w:start w:val="1"/>
      <w:numFmt w:val="decimal"/>
      <w:lvlText w:val="%7."/>
      <w:lvlJc w:val="left"/>
      <w:pPr>
        <w:ind w:left="5183" w:hanging="360"/>
      </w:pPr>
      <w:rPr>
        <w:rFonts w:hint="default"/>
      </w:rPr>
    </w:lvl>
    <w:lvl w:ilvl="7">
      <w:start w:val="1"/>
      <w:numFmt w:val="lowerLetter"/>
      <w:lvlText w:val="%8."/>
      <w:lvlJc w:val="left"/>
      <w:pPr>
        <w:ind w:left="5903" w:hanging="360"/>
      </w:pPr>
      <w:rPr>
        <w:rFonts w:hint="default"/>
      </w:rPr>
    </w:lvl>
    <w:lvl w:ilvl="8">
      <w:start w:val="1"/>
      <w:numFmt w:val="lowerRoman"/>
      <w:lvlText w:val="%9."/>
      <w:lvlJc w:val="right"/>
      <w:pPr>
        <w:ind w:left="6623" w:hanging="180"/>
      </w:pPr>
      <w:rPr>
        <w:rFonts w:hint="default"/>
      </w:rPr>
    </w:lvl>
  </w:abstractNum>
  <w:abstractNum w:abstractNumId="1" w15:restartNumberingAfterBreak="0">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936C40"/>
    <w:multiLevelType w:val="multilevel"/>
    <w:tmpl w:val="9DE856E0"/>
    <w:lvl w:ilvl="0">
      <w:start w:val="1"/>
      <w:numFmt w:val="lowerRoman"/>
      <w:lvlText w:val="%1)"/>
      <w:lvlJc w:val="left"/>
      <w:pPr>
        <w:ind w:left="1365" w:hanging="720"/>
      </w:pPr>
      <w:rPr>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3" w15:restartNumberingAfterBreak="0">
    <w:nsid w:val="79E4040B"/>
    <w:multiLevelType w:val="hybridMultilevel"/>
    <w:tmpl w:val="E05EFF3A"/>
    <w:lvl w:ilvl="0" w:tplc="55342A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C7E5401"/>
    <w:multiLevelType w:val="hybridMultilevel"/>
    <w:tmpl w:val="39A00A76"/>
    <w:lvl w:ilvl="0" w:tplc="B906BC26">
      <w:start w:val="1"/>
      <w:numFmt w:val="lowerLetter"/>
      <w:lvlText w:val="%1)"/>
      <w:lvlJc w:val="left"/>
      <w:pPr>
        <w:ind w:left="1005" w:hanging="360"/>
      </w:pPr>
      <w:rPr>
        <w:rFonts w:hint="default"/>
        <w:b/>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num w:numId="1">
    <w:abstractNumId w:val="4"/>
  </w:num>
  <w:num w:numId="2">
    <w:abstractNumId w:val="2"/>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5EDA"/>
    <w:rsid w:val="000178FF"/>
    <w:rsid w:val="0002052A"/>
    <w:rsid w:val="00020F83"/>
    <w:rsid w:val="00020F85"/>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A97"/>
    <w:rsid w:val="00062E48"/>
    <w:rsid w:val="00063F97"/>
    <w:rsid w:val="00070B5E"/>
    <w:rsid w:val="0007113A"/>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429E"/>
    <w:rsid w:val="000A6E66"/>
    <w:rsid w:val="000B07A1"/>
    <w:rsid w:val="000B0AF9"/>
    <w:rsid w:val="000B3CF4"/>
    <w:rsid w:val="000B3F7B"/>
    <w:rsid w:val="000B41AD"/>
    <w:rsid w:val="000B4317"/>
    <w:rsid w:val="000B443B"/>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45F8"/>
    <w:rsid w:val="000E5918"/>
    <w:rsid w:val="000E602B"/>
    <w:rsid w:val="000E7C02"/>
    <w:rsid w:val="000F2B4D"/>
    <w:rsid w:val="000F62A1"/>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737"/>
    <w:rsid w:val="001338A6"/>
    <w:rsid w:val="00133994"/>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1D8C"/>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3FC6"/>
    <w:rsid w:val="00184BD5"/>
    <w:rsid w:val="00187255"/>
    <w:rsid w:val="001924DA"/>
    <w:rsid w:val="00192B13"/>
    <w:rsid w:val="001947DE"/>
    <w:rsid w:val="00194B60"/>
    <w:rsid w:val="00197D96"/>
    <w:rsid w:val="001A00F6"/>
    <w:rsid w:val="001A0218"/>
    <w:rsid w:val="001A14DE"/>
    <w:rsid w:val="001A2560"/>
    <w:rsid w:val="001A2A99"/>
    <w:rsid w:val="001A2F07"/>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15A"/>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3FD2"/>
    <w:rsid w:val="00235508"/>
    <w:rsid w:val="002358C0"/>
    <w:rsid w:val="00235FF6"/>
    <w:rsid w:val="00244760"/>
    <w:rsid w:val="00245BC7"/>
    <w:rsid w:val="00246D2D"/>
    <w:rsid w:val="0025187C"/>
    <w:rsid w:val="00252EFC"/>
    <w:rsid w:val="00253CAF"/>
    <w:rsid w:val="00255295"/>
    <w:rsid w:val="00255CDB"/>
    <w:rsid w:val="002608E8"/>
    <w:rsid w:val="00260B39"/>
    <w:rsid w:val="00261414"/>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43FB"/>
    <w:rsid w:val="00296B11"/>
    <w:rsid w:val="00296D77"/>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3211"/>
    <w:rsid w:val="002C79F3"/>
    <w:rsid w:val="002D21AA"/>
    <w:rsid w:val="002D2386"/>
    <w:rsid w:val="002D33B7"/>
    <w:rsid w:val="002D36C1"/>
    <w:rsid w:val="002D4277"/>
    <w:rsid w:val="002D46A3"/>
    <w:rsid w:val="002D61B2"/>
    <w:rsid w:val="002E2051"/>
    <w:rsid w:val="002E2E91"/>
    <w:rsid w:val="002E3D60"/>
    <w:rsid w:val="002E5966"/>
    <w:rsid w:val="002E66DB"/>
    <w:rsid w:val="002E7829"/>
    <w:rsid w:val="002F0639"/>
    <w:rsid w:val="002F0D18"/>
    <w:rsid w:val="002F2B84"/>
    <w:rsid w:val="002F2BFF"/>
    <w:rsid w:val="002F3AA8"/>
    <w:rsid w:val="002F3F72"/>
    <w:rsid w:val="002F4045"/>
    <w:rsid w:val="002F4D2E"/>
    <w:rsid w:val="002F7857"/>
    <w:rsid w:val="003041E5"/>
    <w:rsid w:val="00306536"/>
    <w:rsid w:val="003074BF"/>
    <w:rsid w:val="0030753C"/>
    <w:rsid w:val="00310BC0"/>
    <w:rsid w:val="00311CDA"/>
    <w:rsid w:val="003144D3"/>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0062"/>
    <w:rsid w:val="00351C47"/>
    <w:rsid w:val="00352955"/>
    <w:rsid w:val="0035300A"/>
    <w:rsid w:val="00354180"/>
    <w:rsid w:val="00356003"/>
    <w:rsid w:val="00357881"/>
    <w:rsid w:val="00357E64"/>
    <w:rsid w:val="00360084"/>
    <w:rsid w:val="00360E8B"/>
    <w:rsid w:val="00360EC2"/>
    <w:rsid w:val="00360FAE"/>
    <w:rsid w:val="0036262E"/>
    <w:rsid w:val="00362BD4"/>
    <w:rsid w:val="003707E1"/>
    <w:rsid w:val="00371D84"/>
    <w:rsid w:val="00372703"/>
    <w:rsid w:val="00374306"/>
    <w:rsid w:val="00374C94"/>
    <w:rsid w:val="0037574E"/>
    <w:rsid w:val="003767AB"/>
    <w:rsid w:val="0037748E"/>
    <w:rsid w:val="00386377"/>
    <w:rsid w:val="00387099"/>
    <w:rsid w:val="00387455"/>
    <w:rsid w:val="00387D9D"/>
    <w:rsid w:val="003917AC"/>
    <w:rsid w:val="00391C46"/>
    <w:rsid w:val="003924CD"/>
    <w:rsid w:val="00393099"/>
    <w:rsid w:val="0039385A"/>
    <w:rsid w:val="00393EB8"/>
    <w:rsid w:val="00394404"/>
    <w:rsid w:val="00394CE1"/>
    <w:rsid w:val="00397829"/>
    <w:rsid w:val="003A04BD"/>
    <w:rsid w:val="003A088D"/>
    <w:rsid w:val="003A0ABE"/>
    <w:rsid w:val="003A1127"/>
    <w:rsid w:val="003A230C"/>
    <w:rsid w:val="003A2C86"/>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6EE6"/>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496"/>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6C5"/>
    <w:rsid w:val="00431985"/>
    <w:rsid w:val="00431E08"/>
    <w:rsid w:val="00432692"/>
    <w:rsid w:val="004349BD"/>
    <w:rsid w:val="00435EAF"/>
    <w:rsid w:val="00436F6C"/>
    <w:rsid w:val="00437817"/>
    <w:rsid w:val="0044159A"/>
    <w:rsid w:val="004458A0"/>
    <w:rsid w:val="00447C98"/>
    <w:rsid w:val="00450512"/>
    <w:rsid w:val="00451177"/>
    <w:rsid w:val="00451EE7"/>
    <w:rsid w:val="00452771"/>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5DA7"/>
    <w:rsid w:val="004F6FF3"/>
    <w:rsid w:val="004F7F21"/>
    <w:rsid w:val="005008E9"/>
    <w:rsid w:val="005009C5"/>
    <w:rsid w:val="00503B28"/>
    <w:rsid w:val="00504B10"/>
    <w:rsid w:val="0050570B"/>
    <w:rsid w:val="00505D4A"/>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39AF"/>
    <w:rsid w:val="00576C3D"/>
    <w:rsid w:val="00577B7D"/>
    <w:rsid w:val="00580526"/>
    <w:rsid w:val="005820E5"/>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BDF"/>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59E1"/>
    <w:rsid w:val="005E755E"/>
    <w:rsid w:val="005E7CA8"/>
    <w:rsid w:val="005F1B7F"/>
    <w:rsid w:val="005F36E3"/>
    <w:rsid w:val="005F507C"/>
    <w:rsid w:val="005F5E67"/>
    <w:rsid w:val="006003EF"/>
    <w:rsid w:val="00600E07"/>
    <w:rsid w:val="006011B7"/>
    <w:rsid w:val="006024AF"/>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3C22"/>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5D44"/>
    <w:rsid w:val="00667A41"/>
    <w:rsid w:val="0067025F"/>
    <w:rsid w:val="00672C23"/>
    <w:rsid w:val="00673627"/>
    <w:rsid w:val="00674EA3"/>
    <w:rsid w:val="0067505E"/>
    <w:rsid w:val="006762DA"/>
    <w:rsid w:val="00677719"/>
    <w:rsid w:val="00681287"/>
    <w:rsid w:val="006830E1"/>
    <w:rsid w:val="00685C4F"/>
    <w:rsid w:val="00685D36"/>
    <w:rsid w:val="00686ABD"/>
    <w:rsid w:val="006905CD"/>
    <w:rsid w:val="00691173"/>
    <w:rsid w:val="00691AA4"/>
    <w:rsid w:val="00691BD5"/>
    <w:rsid w:val="00692DEB"/>
    <w:rsid w:val="00694EAF"/>
    <w:rsid w:val="006950BA"/>
    <w:rsid w:val="00695B77"/>
    <w:rsid w:val="00697153"/>
    <w:rsid w:val="006974AC"/>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0645"/>
    <w:rsid w:val="006E2AF9"/>
    <w:rsid w:val="006E4D74"/>
    <w:rsid w:val="006E4D81"/>
    <w:rsid w:val="006E7725"/>
    <w:rsid w:val="006F1186"/>
    <w:rsid w:val="006F4C79"/>
    <w:rsid w:val="006F692B"/>
    <w:rsid w:val="007012D9"/>
    <w:rsid w:val="00702036"/>
    <w:rsid w:val="007043D0"/>
    <w:rsid w:val="00704EE5"/>
    <w:rsid w:val="00705EAB"/>
    <w:rsid w:val="0070732D"/>
    <w:rsid w:val="007073AB"/>
    <w:rsid w:val="00710452"/>
    <w:rsid w:val="00710DD3"/>
    <w:rsid w:val="00712273"/>
    <w:rsid w:val="00712B28"/>
    <w:rsid w:val="00716F0A"/>
    <w:rsid w:val="0071734C"/>
    <w:rsid w:val="00721CAB"/>
    <w:rsid w:val="0072436A"/>
    <w:rsid w:val="00724B49"/>
    <w:rsid w:val="00726579"/>
    <w:rsid w:val="00730939"/>
    <w:rsid w:val="00733BBD"/>
    <w:rsid w:val="007347B3"/>
    <w:rsid w:val="00737154"/>
    <w:rsid w:val="00737A1B"/>
    <w:rsid w:val="00741752"/>
    <w:rsid w:val="00743015"/>
    <w:rsid w:val="00743A4B"/>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0E63"/>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4E09"/>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057"/>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170C"/>
    <w:rsid w:val="008B239B"/>
    <w:rsid w:val="008B23F8"/>
    <w:rsid w:val="008B363A"/>
    <w:rsid w:val="008B4349"/>
    <w:rsid w:val="008B4811"/>
    <w:rsid w:val="008B49FD"/>
    <w:rsid w:val="008B5C47"/>
    <w:rsid w:val="008B734D"/>
    <w:rsid w:val="008C1239"/>
    <w:rsid w:val="008C16B4"/>
    <w:rsid w:val="008C25E2"/>
    <w:rsid w:val="008C28F7"/>
    <w:rsid w:val="008C3454"/>
    <w:rsid w:val="008C74E8"/>
    <w:rsid w:val="008C7BBB"/>
    <w:rsid w:val="008D0390"/>
    <w:rsid w:val="008D11D0"/>
    <w:rsid w:val="008D1E05"/>
    <w:rsid w:val="008D30A4"/>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4623"/>
    <w:rsid w:val="00947E6D"/>
    <w:rsid w:val="00950739"/>
    <w:rsid w:val="009507AE"/>
    <w:rsid w:val="009507D8"/>
    <w:rsid w:val="00951ADE"/>
    <w:rsid w:val="0095536D"/>
    <w:rsid w:val="00955466"/>
    <w:rsid w:val="00957FC0"/>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1690"/>
    <w:rsid w:val="009B3298"/>
    <w:rsid w:val="009B34BB"/>
    <w:rsid w:val="009B4FCE"/>
    <w:rsid w:val="009B5298"/>
    <w:rsid w:val="009B531B"/>
    <w:rsid w:val="009B6096"/>
    <w:rsid w:val="009B60F5"/>
    <w:rsid w:val="009B7020"/>
    <w:rsid w:val="009B7BAA"/>
    <w:rsid w:val="009B7FB9"/>
    <w:rsid w:val="009C16E2"/>
    <w:rsid w:val="009C1860"/>
    <w:rsid w:val="009C2D0D"/>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EEA"/>
    <w:rsid w:val="00A17F1C"/>
    <w:rsid w:val="00A20BA9"/>
    <w:rsid w:val="00A22FAB"/>
    <w:rsid w:val="00A24A06"/>
    <w:rsid w:val="00A251B1"/>
    <w:rsid w:val="00A25BB0"/>
    <w:rsid w:val="00A26D5A"/>
    <w:rsid w:val="00A30250"/>
    <w:rsid w:val="00A3196C"/>
    <w:rsid w:val="00A32DF3"/>
    <w:rsid w:val="00A36606"/>
    <w:rsid w:val="00A366EF"/>
    <w:rsid w:val="00A411C5"/>
    <w:rsid w:val="00A4179B"/>
    <w:rsid w:val="00A42F29"/>
    <w:rsid w:val="00A42F90"/>
    <w:rsid w:val="00A445AB"/>
    <w:rsid w:val="00A44B27"/>
    <w:rsid w:val="00A46744"/>
    <w:rsid w:val="00A47832"/>
    <w:rsid w:val="00A50996"/>
    <w:rsid w:val="00A50A25"/>
    <w:rsid w:val="00A521BC"/>
    <w:rsid w:val="00A52219"/>
    <w:rsid w:val="00A54FAC"/>
    <w:rsid w:val="00A56DEA"/>
    <w:rsid w:val="00A57538"/>
    <w:rsid w:val="00A604D3"/>
    <w:rsid w:val="00A607EE"/>
    <w:rsid w:val="00A617C1"/>
    <w:rsid w:val="00A61B57"/>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2CE"/>
    <w:rsid w:val="00A9247C"/>
    <w:rsid w:val="00A93597"/>
    <w:rsid w:val="00A936CD"/>
    <w:rsid w:val="00A94E96"/>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C7CBD"/>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5419"/>
    <w:rsid w:val="00AF6EF0"/>
    <w:rsid w:val="00B0171D"/>
    <w:rsid w:val="00B01BFF"/>
    <w:rsid w:val="00B02086"/>
    <w:rsid w:val="00B04692"/>
    <w:rsid w:val="00B0647C"/>
    <w:rsid w:val="00B06DA7"/>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09F2"/>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2AD"/>
    <w:rsid w:val="00B95FF5"/>
    <w:rsid w:val="00B97777"/>
    <w:rsid w:val="00B97AF8"/>
    <w:rsid w:val="00BA085B"/>
    <w:rsid w:val="00BA1095"/>
    <w:rsid w:val="00BA1551"/>
    <w:rsid w:val="00BA192B"/>
    <w:rsid w:val="00BA4286"/>
    <w:rsid w:val="00BA4921"/>
    <w:rsid w:val="00BA4ED1"/>
    <w:rsid w:val="00BB053F"/>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4E58"/>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17FE"/>
    <w:rsid w:val="00C12679"/>
    <w:rsid w:val="00C127A7"/>
    <w:rsid w:val="00C12FB6"/>
    <w:rsid w:val="00C1511E"/>
    <w:rsid w:val="00C16047"/>
    <w:rsid w:val="00C20419"/>
    <w:rsid w:val="00C20FE3"/>
    <w:rsid w:val="00C2260F"/>
    <w:rsid w:val="00C23A80"/>
    <w:rsid w:val="00C23FDA"/>
    <w:rsid w:val="00C25DCF"/>
    <w:rsid w:val="00C25FDD"/>
    <w:rsid w:val="00C264EA"/>
    <w:rsid w:val="00C26541"/>
    <w:rsid w:val="00C40217"/>
    <w:rsid w:val="00C407FD"/>
    <w:rsid w:val="00C426D8"/>
    <w:rsid w:val="00C43831"/>
    <w:rsid w:val="00C459FD"/>
    <w:rsid w:val="00C45C9D"/>
    <w:rsid w:val="00C5295E"/>
    <w:rsid w:val="00C52BEB"/>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91310"/>
    <w:rsid w:val="00C915EC"/>
    <w:rsid w:val="00C91615"/>
    <w:rsid w:val="00C91EE5"/>
    <w:rsid w:val="00C9278E"/>
    <w:rsid w:val="00C92B39"/>
    <w:rsid w:val="00C934B3"/>
    <w:rsid w:val="00C94D4A"/>
    <w:rsid w:val="00C950E1"/>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B6C2E"/>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4F4B"/>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5D0"/>
    <w:rsid w:val="00D31BD1"/>
    <w:rsid w:val="00D323D0"/>
    <w:rsid w:val="00D3517D"/>
    <w:rsid w:val="00D358B2"/>
    <w:rsid w:val="00D35CA0"/>
    <w:rsid w:val="00D36693"/>
    <w:rsid w:val="00D402BA"/>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5D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2CB0"/>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3FEE"/>
    <w:rsid w:val="00EE42D3"/>
    <w:rsid w:val="00EE483D"/>
    <w:rsid w:val="00EE4D5C"/>
    <w:rsid w:val="00EE4F89"/>
    <w:rsid w:val="00EE63E8"/>
    <w:rsid w:val="00EE655A"/>
    <w:rsid w:val="00EE6C6B"/>
    <w:rsid w:val="00EE7E27"/>
    <w:rsid w:val="00EF1207"/>
    <w:rsid w:val="00EF1751"/>
    <w:rsid w:val="00EF1C7D"/>
    <w:rsid w:val="00EF2CD7"/>
    <w:rsid w:val="00EF2FF6"/>
    <w:rsid w:val="00EF3CA4"/>
    <w:rsid w:val="00EF4B0F"/>
    <w:rsid w:val="00EF7205"/>
    <w:rsid w:val="00EF7A2B"/>
    <w:rsid w:val="00F001D3"/>
    <w:rsid w:val="00F038F6"/>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225D"/>
    <w:rsid w:val="00F63C7D"/>
    <w:rsid w:val="00F63EE6"/>
    <w:rsid w:val="00F64425"/>
    <w:rsid w:val="00F667C9"/>
    <w:rsid w:val="00F66907"/>
    <w:rsid w:val="00F66CC9"/>
    <w:rsid w:val="00F67400"/>
    <w:rsid w:val="00F674CB"/>
    <w:rsid w:val="00F67A44"/>
    <w:rsid w:val="00F708D4"/>
    <w:rsid w:val="00F726F9"/>
    <w:rsid w:val="00F72DD5"/>
    <w:rsid w:val="00F74FF9"/>
    <w:rsid w:val="00F76FF1"/>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06CB"/>
    <w:rsid w:val="00FB1463"/>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2470"/>
    <w:rsid w:val="00FE3727"/>
    <w:rsid w:val="00FE5E16"/>
    <w:rsid w:val="00FE6D22"/>
    <w:rsid w:val="00FF23C6"/>
    <w:rsid w:val="00FF2DD5"/>
    <w:rsid w:val="00FF3153"/>
    <w:rsid w:val="00FF4169"/>
    <w:rsid w:val="00FF5E08"/>
    <w:rsid w:val="00FF76FA"/>
    <w:rsid w:val="00FF796F"/>
    <w:rsid w:val="00FF7D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907211C"/>
  <w15:docId w15:val="{AF0CC9FD-7D1C-4E5B-8D3D-C3A0F5C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link w:val="PrrafodelistaCar"/>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uiPriority w:val="99"/>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E10421"/>
    <w:pPr>
      <w:spacing w:after="120"/>
    </w:pPr>
    <w:rPr>
      <w:sz w:val="16"/>
      <w:szCs w:val="16"/>
    </w:rPr>
  </w:style>
  <w:style w:type="character" w:customStyle="1" w:styleId="Textoindependiente3Car">
    <w:name w:val="Texto independiente 3 Car"/>
    <w:basedOn w:val="Fuentedeprrafopredeter"/>
    <w:link w:val="Textoindependiente3"/>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character" w:customStyle="1" w:styleId="PrrafodelistaCar">
    <w:name w:val="Párrafo de lista Car"/>
    <w:link w:val="Prrafodelista"/>
    <w:uiPriority w:val="34"/>
    <w:locked/>
    <w:rsid w:val="00505D4A"/>
    <w:rPr>
      <w:rFonts w:eastAsiaTheme="minorHAnsi"/>
      <w:lang w:eastAsia="en-US"/>
    </w:rPr>
  </w:style>
  <w:style w:type="numbering" w:customStyle="1" w:styleId="Sinlista2">
    <w:name w:val="Sin lista2"/>
    <w:next w:val="Sinlista"/>
    <w:uiPriority w:val="99"/>
    <w:semiHidden/>
    <w:unhideWhenUsed/>
    <w:rsid w:val="00CB6C2E"/>
  </w:style>
  <w:style w:type="table" w:customStyle="1" w:styleId="TableNormal1">
    <w:name w:val="Table Normal1"/>
    <w:rsid w:val="00CB6C2E"/>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customStyle="1" w:styleId="p">
    <w:name w:val="p"/>
    <w:basedOn w:val="Normal"/>
    <w:rsid w:val="00CB6C2E"/>
    <w:pPr>
      <w:spacing w:before="100" w:beforeAutospacing="1" w:after="0" w:line="240" w:lineRule="auto"/>
      <w:ind w:left="0" w:right="0" w:firstLine="0"/>
      <w:jc w:val="left"/>
    </w:pPr>
    <w:rPr>
      <w:rFonts w:ascii="Times New Roman" w:eastAsia="Times New Roman" w:hAnsi="Times New Roman" w:cs="Times New Roman"/>
      <w:color w:val="auto"/>
      <w:szCs w:val="24"/>
    </w:rPr>
  </w:style>
  <w:style w:type="paragraph" w:customStyle="1" w:styleId="q">
    <w:name w:val="q"/>
    <w:basedOn w:val="Normal"/>
    <w:rsid w:val="00CB6C2E"/>
    <w:pPr>
      <w:spacing w:before="100" w:beforeAutospacing="1" w:after="0" w:line="240" w:lineRule="auto"/>
      <w:ind w:left="480" w:right="0" w:firstLine="0"/>
      <w:jc w:val="left"/>
    </w:pPr>
    <w:rPr>
      <w:rFonts w:ascii="Times New Roman" w:eastAsia="Times New Roman" w:hAnsi="Times New Roman" w:cs="Times New Roman"/>
      <w:color w:val="auto"/>
      <w:szCs w:val="24"/>
    </w:rPr>
  </w:style>
  <w:style w:type="character" w:customStyle="1" w:styleId="f1">
    <w:name w:val="f1"/>
    <w:basedOn w:val="Fuentedeprrafopredeter"/>
    <w:rsid w:val="00CB6C2E"/>
    <w:rPr>
      <w:color w:val="0000FF"/>
      <w:sz w:val="30"/>
      <w:szCs w:val="30"/>
    </w:rPr>
  </w:style>
  <w:style w:type="character" w:customStyle="1" w:styleId="d1">
    <w:name w:val="d1"/>
    <w:basedOn w:val="Fuentedeprrafopredeter"/>
    <w:rsid w:val="00CB6C2E"/>
    <w:rPr>
      <w:color w:val="0000FF"/>
    </w:rPr>
  </w:style>
  <w:style w:type="character" w:customStyle="1" w:styleId="b1">
    <w:name w:val="b1"/>
    <w:basedOn w:val="Fuentedeprrafopredeter"/>
    <w:rsid w:val="00CB6C2E"/>
    <w:rPr>
      <w:color w:val="000000"/>
    </w:rPr>
  </w:style>
  <w:style w:type="character" w:customStyle="1" w:styleId="caps">
    <w:name w:val="caps"/>
    <w:basedOn w:val="Fuentedeprrafopredeter"/>
    <w:rsid w:val="00CB6C2E"/>
  </w:style>
  <w:style w:type="paragraph" w:customStyle="1" w:styleId="Estilo">
    <w:name w:val="Estilo"/>
    <w:basedOn w:val="Sinespaciado"/>
    <w:link w:val="EstiloCar"/>
    <w:qFormat/>
    <w:rsid w:val="00CB6C2E"/>
    <w:pPr>
      <w:ind w:left="0" w:right="0" w:firstLine="0"/>
    </w:pPr>
    <w:rPr>
      <w:rFonts w:eastAsia="Cambria" w:cs="Times New Roman"/>
      <w:color w:val="auto"/>
      <w:lang w:eastAsia="en-US"/>
    </w:rPr>
  </w:style>
  <w:style w:type="paragraph" w:customStyle="1" w:styleId="Sinespaciado1">
    <w:name w:val="Sin espaciado1"/>
    <w:next w:val="Sinespaciado"/>
    <w:uiPriority w:val="1"/>
    <w:qFormat/>
    <w:rsid w:val="00CB6C2E"/>
    <w:pPr>
      <w:spacing w:after="0" w:line="240" w:lineRule="auto"/>
    </w:pPr>
    <w:rPr>
      <w:rFonts w:eastAsia="Cambria"/>
      <w:lang w:eastAsia="en-US"/>
    </w:rPr>
  </w:style>
  <w:style w:type="character" w:customStyle="1" w:styleId="EstiloCar">
    <w:name w:val="Estilo Car"/>
    <w:basedOn w:val="Fuentedeprrafopredeter"/>
    <w:link w:val="Estilo"/>
    <w:rsid w:val="00CB6C2E"/>
    <w:rPr>
      <w:rFonts w:ascii="Arial" w:eastAsia="Cambria" w:hAnsi="Arial" w:cs="Times New Roman"/>
      <w:sz w:val="24"/>
      <w:lang w:eastAsia="en-US"/>
    </w:rPr>
  </w:style>
  <w:style w:type="paragraph" w:customStyle="1" w:styleId="Textocomentario1">
    <w:name w:val="Texto comentario1"/>
    <w:basedOn w:val="Normal"/>
    <w:next w:val="Textocomentario"/>
    <w:link w:val="TextocomentarioCar"/>
    <w:uiPriority w:val="99"/>
    <w:unhideWhenUsed/>
    <w:rsid w:val="00CB6C2E"/>
    <w:pPr>
      <w:spacing w:after="160" w:line="240" w:lineRule="auto"/>
      <w:ind w:left="0" w:right="0" w:firstLine="0"/>
      <w:jc w:val="left"/>
    </w:pPr>
    <w:rPr>
      <w:rFonts w:ascii="Cambria" w:eastAsia="Cambria" w:hAnsi="Cambria" w:cs="Times New Roman"/>
      <w:color w:val="auto"/>
      <w:sz w:val="20"/>
      <w:szCs w:val="20"/>
      <w:lang w:eastAsia="en-US"/>
    </w:rPr>
  </w:style>
  <w:style w:type="character" w:customStyle="1" w:styleId="TextocomentarioCar">
    <w:name w:val="Texto comentario Car"/>
    <w:basedOn w:val="Fuentedeprrafopredeter"/>
    <w:link w:val="Textocomentario1"/>
    <w:uiPriority w:val="99"/>
    <w:rsid w:val="00CB6C2E"/>
    <w:rPr>
      <w:rFonts w:ascii="Cambria" w:eastAsia="Cambria" w:hAnsi="Cambria" w:cs="Times New Roman"/>
      <w:sz w:val="20"/>
      <w:szCs w:val="20"/>
      <w:lang w:val="es-MX" w:eastAsia="en-US"/>
    </w:rPr>
  </w:style>
  <w:style w:type="character" w:customStyle="1" w:styleId="AsuntodelcomentarioCar">
    <w:name w:val="Asunto del comentario Car"/>
    <w:basedOn w:val="TextocomentarioCar"/>
    <w:link w:val="Asuntodelcomentario"/>
    <w:uiPriority w:val="99"/>
    <w:semiHidden/>
    <w:rsid w:val="00CB6C2E"/>
    <w:rPr>
      <w:rFonts w:ascii="Cambria" w:eastAsia="Cambria" w:hAnsi="Cambria" w:cs="Times New Roman"/>
      <w:b/>
      <w:bCs/>
      <w:sz w:val="20"/>
      <w:szCs w:val="20"/>
      <w:lang w:val="es-MX" w:eastAsia="en-US"/>
    </w:rPr>
  </w:style>
  <w:style w:type="paragraph" w:customStyle="1" w:styleId="Asuntodelcomentario1">
    <w:name w:val="Asunto del comentario1"/>
    <w:basedOn w:val="Textocomentario"/>
    <w:next w:val="Textocomentario"/>
    <w:uiPriority w:val="99"/>
    <w:semiHidden/>
    <w:unhideWhenUsed/>
    <w:rsid w:val="00CB6C2E"/>
    <w:pPr>
      <w:spacing w:after="0"/>
      <w:ind w:left="0" w:right="0" w:firstLine="0"/>
      <w:jc w:val="left"/>
    </w:pPr>
    <w:rPr>
      <w:rFonts w:ascii="Cambria" w:eastAsia="Cambria" w:hAnsi="Cambria" w:cs="Times New Roman"/>
      <w:b/>
      <w:bCs/>
      <w:color w:val="auto"/>
      <w:lang w:eastAsia="en-US"/>
    </w:rPr>
  </w:style>
  <w:style w:type="character" w:customStyle="1" w:styleId="AsuntodelcomentarioCar1">
    <w:name w:val="Asunto del comentario Car1"/>
    <w:basedOn w:val="TextocomentarioCar"/>
    <w:uiPriority w:val="99"/>
    <w:semiHidden/>
    <w:rsid w:val="00CB6C2E"/>
    <w:rPr>
      <w:rFonts w:ascii="Cambria" w:eastAsia="Cambria" w:hAnsi="Cambria" w:cs="Times New Roman"/>
      <w:b/>
      <w:bCs/>
      <w:sz w:val="20"/>
      <w:szCs w:val="20"/>
      <w:lang w:val="es-MX" w:eastAsia="en-US"/>
    </w:rPr>
  </w:style>
  <w:style w:type="paragraph" w:customStyle="1" w:styleId="Cuerpo">
    <w:name w:val="Cuerpo"/>
    <w:basedOn w:val="Normal"/>
    <w:rsid w:val="00CB6C2E"/>
    <w:pPr>
      <w:spacing w:after="0" w:line="240" w:lineRule="auto"/>
      <w:ind w:left="0" w:right="0" w:firstLine="0"/>
    </w:pPr>
    <w:rPr>
      <w:rFonts w:eastAsia="Times New Roman" w:cs="Times New Roman"/>
      <w:color w:val="auto"/>
      <w:sz w:val="20"/>
      <w:szCs w:val="20"/>
      <w:lang w:val="es-ES" w:eastAsia="es-ES"/>
    </w:rPr>
  </w:style>
  <w:style w:type="character" w:customStyle="1" w:styleId="Ninguno">
    <w:name w:val="Ninguno"/>
    <w:rsid w:val="00CB6C2E"/>
  </w:style>
  <w:style w:type="character" w:customStyle="1" w:styleId="SangradetextonormalCar">
    <w:name w:val="Sangría de texto normal Car"/>
    <w:basedOn w:val="Fuentedeprrafopredeter"/>
    <w:link w:val="Sangradetextonormal"/>
    <w:uiPriority w:val="99"/>
    <w:semiHidden/>
    <w:rsid w:val="00CB6C2E"/>
    <w:rPr>
      <w:rFonts w:ascii="Cambria" w:eastAsia="Cambria" w:hAnsi="Cambria" w:cs="Times New Roman"/>
      <w:sz w:val="22"/>
      <w:szCs w:val="22"/>
      <w:lang w:val="es-MX" w:eastAsia="en-US"/>
    </w:rPr>
  </w:style>
  <w:style w:type="paragraph" w:customStyle="1" w:styleId="Sangradetextonormal1">
    <w:name w:val="Sangría de texto normal1"/>
    <w:basedOn w:val="Normal"/>
    <w:next w:val="Sangradetextonormal"/>
    <w:uiPriority w:val="99"/>
    <w:semiHidden/>
    <w:unhideWhenUsed/>
    <w:rsid w:val="00CB6C2E"/>
    <w:pPr>
      <w:spacing w:after="120" w:line="360" w:lineRule="auto"/>
      <w:ind w:left="283" w:right="0" w:firstLine="0"/>
      <w:jc w:val="left"/>
    </w:pPr>
    <w:rPr>
      <w:rFonts w:ascii="Cambria" w:eastAsia="Cambria" w:hAnsi="Cambria" w:cs="Times New Roman"/>
      <w:color w:val="auto"/>
      <w:sz w:val="22"/>
      <w:lang w:eastAsia="en-US"/>
    </w:rPr>
  </w:style>
  <w:style w:type="character" w:customStyle="1" w:styleId="SangradetextonormalCar1">
    <w:name w:val="Sangría de texto normal Car1"/>
    <w:basedOn w:val="Fuentedeprrafopredeter"/>
    <w:uiPriority w:val="99"/>
    <w:semiHidden/>
    <w:rsid w:val="00CB6C2E"/>
  </w:style>
  <w:style w:type="table" w:customStyle="1" w:styleId="15">
    <w:name w:val="15"/>
    <w:basedOn w:val="TableNormal"/>
    <w:rsid w:val="00CB6C2E"/>
    <w:pPr>
      <w:spacing w:after="0" w:line="240" w:lineRule="auto"/>
    </w:pPr>
    <w:tblPr>
      <w:tblStyleRowBandSize w:val="1"/>
      <w:tblStyleColBandSize w:val="1"/>
      <w:tblCellMar>
        <w:left w:w="108" w:type="dxa"/>
        <w:right w:w="108" w:type="dxa"/>
      </w:tblCellMar>
    </w:tblPr>
  </w:style>
  <w:style w:type="table" w:customStyle="1" w:styleId="14">
    <w:name w:val="14"/>
    <w:basedOn w:val="TableNormal"/>
    <w:rsid w:val="00CB6C2E"/>
    <w:pPr>
      <w:spacing w:after="0" w:line="240" w:lineRule="auto"/>
    </w:pPr>
    <w:tblPr>
      <w:tblStyleRowBandSize w:val="1"/>
      <w:tblStyleColBandSize w:val="1"/>
      <w:tblCellMar>
        <w:left w:w="108" w:type="dxa"/>
        <w:right w:w="108" w:type="dxa"/>
      </w:tblCellMar>
    </w:tblPr>
  </w:style>
  <w:style w:type="table" w:customStyle="1" w:styleId="13">
    <w:name w:val="13"/>
    <w:basedOn w:val="TableNormal"/>
    <w:rsid w:val="00CB6C2E"/>
    <w:pPr>
      <w:spacing w:after="0" w:line="360" w:lineRule="auto"/>
    </w:pPr>
    <w:tblPr>
      <w:tblStyleRowBandSize w:val="1"/>
      <w:tblStyleColBandSize w:val="1"/>
      <w:tblCellMar>
        <w:left w:w="115" w:type="dxa"/>
        <w:right w:w="115" w:type="dxa"/>
      </w:tblCellMar>
    </w:tblPr>
  </w:style>
  <w:style w:type="table" w:customStyle="1" w:styleId="12">
    <w:name w:val="12"/>
    <w:basedOn w:val="TableNormal"/>
    <w:rsid w:val="00CB6C2E"/>
    <w:pPr>
      <w:spacing w:after="0" w:line="360" w:lineRule="auto"/>
    </w:pPr>
    <w:tblPr>
      <w:tblStyleRowBandSize w:val="1"/>
      <w:tblStyleColBandSize w:val="1"/>
      <w:tblCellMar>
        <w:left w:w="115" w:type="dxa"/>
        <w:right w:w="115" w:type="dxa"/>
      </w:tblCellMar>
    </w:tblPr>
  </w:style>
  <w:style w:type="table" w:customStyle="1" w:styleId="11">
    <w:name w:val="11"/>
    <w:basedOn w:val="TableNormal"/>
    <w:rsid w:val="00CB6C2E"/>
    <w:pPr>
      <w:spacing w:after="0" w:line="240" w:lineRule="auto"/>
    </w:pPr>
    <w:tblPr>
      <w:tblStyleRowBandSize w:val="1"/>
      <w:tblStyleColBandSize w:val="1"/>
      <w:tblCellMar>
        <w:left w:w="108" w:type="dxa"/>
        <w:right w:w="108" w:type="dxa"/>
      </w:tblCellMar>
    </w:tblPr>
  </w:style>
  <w:style w:type="table" w:customStyle="1" w:styleId="10">
    <w:name w:val="10"/>
    <w:basedOn w:val="TableNormal"/>
    <w:rsid w:val="00CB6C2E"/>
    <w:pPr>
      <w:spacing w:after="0" w:line="240" w:lineRule="auto"/>
    </w:pPr>
    <w:tblPr>
      <w:tblStyleRowBandSize w:val="1"/>
      <w:tblStyleColBandSize w:val="1"/>
      <w:tblCellMar>
        <w:left w:w="108" w:type="dxa"/>
        <w:right w:w="108" w:type="dxa"/>
      </w:tblCellMar>
    </w:tblPr>
  </w:style>
  <w:style w:type="table" w:customStyle="1" w:styleId="9">
    <w:name w:val="9"/>
    <w:basedOn w:val="TableNormal"/>
    <w:rsid w:val="00CB6C2E"/>
    <w:pPr>
      <w:spacing w:after="0" w:line="240" w:lineRule="auto"/>
    </w:pPr>
    <w:tblPr>
      <w:tblStyleRowBandSize w:val="1"/>
      <w:tblStyleColBandSize w:val="1"/>
      <w:tblCellMar>
        <w:left w:w="108" w:type="dxa"/>
        <w:right w:w="108" w:type="dxa"/>
      </w:tblCellMar>
    </w:tblPr>
  </w:style>
  <w:style w:type="table" w:customStyle="1" w:styleId="8">
    <w:name w:val="8"/>
    <w:basedOn w:val="TableNormal"/>
    <w:rsid w:val="00CB6C2E"/>
    <w:pPr>
      <w:spacing w:after="0" w:line="240" w:lineRule="auto"/>
    </w:pPr>
    <w:tblPr>
      <w:tblStyleRowBandSize w:val="1"/>
      <w:tblStyleColBandSize w:val="1"/>
      <w:tblCellMar>
        <w:left w:w="108" w:type="dxa"/>
        <w:right w:w="108" w:type="dxa"/>
      </w:tblCellMar>
    </w:tblPr>
  </w:style>
  <w:style w:type="table" w:customStyle="1" w:styleId="7">
    <w:name w:val="7"/>
    <w:basedOn w:val="TableNormal"/>
    <w:rsid w:val="00CB6C2E"/>
    <w:pPr>
      <w:spacing w:after="0" w:line="240" w:lineRule="auto"/>
    </w:pPr>
    <w:tblPr>
      <w:tblStyleRowBandSize w:val="1"/>
      <w:tblStyleColBandSize w:val="1"/>
      <w:tblCellMar>
        <w:left w:w="108" w:type="dxa"/>
        <w:right w:w="108" w:type="dxa"/>
      </w:tblCellMar>
    </w:tblPr>
  </w:style>
  <w:style w:type="table" w:customStyle="1" w:styleId="6">
    <w:name w:val="6"/>
    <w:basedOn w:val="TableNormal"/>
    <w:rsid w:val="00CB6C2E"/>
    <w:pPr>
      <w:spacing w:after="0" w:line="240" w:lineRule="auto"/>
    </w:pPr>
    <w:tblPr>
      <w:tblStyleRowBandSize w:val="1"/>
      <w:tblStyleColBandSize w:val="1"/>
      <w:tblCellMar>
        <w:left w:w="108" w:type="dxa"/>
        <w:right w:w="108" w:type="dxa"/>
      </w:tblCellMar>
    </w:tblPr>
  </w:style>
  <w:style w:type="table" w:customStyle="1" w:styleId="5">
    <w:name w:val="5"/>
    <w:basedOn w:val="TableNormal"/>
    <w:rsid w:val="00CB6C2E"/>
    <w:pPr>
      <w:spacing w:after="0" w:line="240" w:lineRule="auto"/>
    </w:pPr>
    <w:tblPr>
      <w:tblStyleRowBandSize w:val="1"/>
      <w:tblStyleColBandSize w:val="1"/>
      <w:tblCellMar>
        <w:left w:w="108" w:type="dxa"/>
        <w:right w:w="108" w:type="dxa"/>
      </w:tblCellMar>
    </w:tblPr>
  </w:style>
  <w:style w:type="table" w:customStyle="1" w:styleId="4">
    <w:name w:val="4"/>
    <w:basedOn w:val="TableNormal"/>
    <w:rsid w:val="00CB6C2E"/>
    <w:pPr>
      <w:spacing w:after="0" w:line="240" w:lineRule="auto"/>
    </w:pPr>
    <w:tblPr>
      <w:tblStyleRowBandSize w:val="1"/>
      <w:tblStyleColBandSize w:val="1"/>
      <w:tblCellMar>
        <w:left w:w="108" w:type="dxa"/>
        <w:right w:w="108" w:type="dxa"/>
      </w:tblCellMar>
    </w:tblPr>
  </w:style>
  <w:style w:type="table" w:customStyle="1" w:styleId="3">
    <w:name w:val="3"/>
    <w:basedOn w:val="TableNormal"/>
    <w:rsid w:val="00CB6C2E"/>
    <w:pPr>
      <w:spacing w:after="0" w:line="240" w:lineRule="auto"/>
    </w:pPr>
    <w:tblPr>
      <w:tblStyleRowBandSize w:val="1"/>
      <w:tblStyleColBandSize w:val="1"/>
      <w:tblCellMar>
        <w:left w:w="108" w:type="dxa"/>
        <w:right w:w="108" w:type="dxa"/>
      </w:tblCellMar>
    </w:tblPr>
  </w:style>
  <w:style w:type="table" w:customStyle="1" w:styleId="2">
    <w:name w:val="2"/>
    <w:basedOn w:val="TableNormal"/>
    <w:rsid w:val="00CB6C2E"/>
    <w:pPr>
      <w:spacing w:after="0" w:line="240" w:lineRule="auto"/>
    </w:pPr>
    <w:tblPr>
      <w:tblStyleRowBandSize w:val="1"/>
      <w:tblStyleColBandSize w:val="1"/>
      <w:tblCellMar>
        <w:left w:w="108" w:type="dxa"/>
        <w:right w:w="108" w:type="dxa"/>
      </w:tblCellMar>
    </w:tblPr>
  </w:style>
  <w:style w:type="table" w:customStyle="1" w:styleId="1">
    <w:name w:val="1"/>
    <w:basedOn w:val="TableNormal"/>
    <w:rsid w:val="00CB6C2E"/>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CB6C2E"/>
    <w:pPr>
      <w:spacing w:after="0" w:line="240" w:lineRule="auto"/>
      <w:ind w:left="705" w:right="-3" w:hanging="10"/>
      <w:jc w:val="both"/>
    </w:pPr>
    <w:rPr>
      <w:rFonts w:ascii="Arial" w:eastAsia="Arial" w:hAnsi="Arial" w:cs="Arial"/>
      <w:color w:val="000000"/>
      <w:sz w:val="24"/>
    </w:rPr>
  </w:style>
  <w:style w:type="paragraph" w:styleId="Textocomentario">
    <w:name w:val="annotation text"/>
    <w:basedOn w:val="Normal"/>
    <w:link w:val="TextocomentarioCar1"/>
    <w:uiPriority w:val="99"/>
    <w:semiHidden/>
    <w:unhideWhenUsed/>
    <w:rsid w:val="00CB6C2E"/>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CB6C2E"/>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CB6C2E"/>
    <w:rPr>
      <w:rFonts w:ascii="Cambria" w:eastAsia="Cambria" w:hAnsi="Cambria" w:cs="Times New Roman"/>
      <w:b/>
      <w:bCs/>
      <w:color w:val="auto"/>
      <w:lang w:eastAsia="en-US"/>
    </w:rPr>
  </w:style>
  <w:style w:type="character" w:customStyle="1" w:styleId="AsuntodelcomentarioCar2">
    <w:name w:val="Asunto del comentario Car2"/>
    <w:basedOn w:val="TextocomentarioCar1"/>
    <w:uiPriority w:val="99"/>
    <w:semiHidden/>
    <w:rsid w:val="00CB6C2E"/>
    <w:rPr>
      <w:rFonts w:ascii="Arial" w:eastAsia="Arial" w:hAnsi="Arial" w:cs="Arial"/>
      <w:b/>
      <w:bCs/>
      <w:color w:val="000000"/>
      <w:sz w:val="20"/>
      <w:szCs w:val="20"/>
    </w:rPr>
  </w:style>
  <w:style w:type="paragraph" w:styleId="Sangradetextonormal">
    <w:name w:val="Body Text Indent"/>
    <w:basedOn w:val="Normal"/>
    <w:link w:val="SangradetextonormalCar"/>
    <w:uiPriority w:val="99"/>
    <w:semiHidden/>
    <w:unhideWhenUsed/>
    <w:rsid w:val="00CB6C2E"/>
    <w:pPr>
      <w:spacing w:after="120"/>
      <w:ind w:left="283"/>
    </w:pPr>
    <w:rPr>
      <w:rFonts w:ascii="Cambria" w:eastAsia="Cambria" w:hAnsi="Cambria" w:cs="Times New Roman"/>
      <w:color w:val="auto"/>
      <w:sz w:val="22"/>
      <w:lang w:eastAsia="en-US"/>
    </w:rPr>
  </w:style>
  <w:style w:type="character" w:customStyle="1" w:styleId="SangradetextonormalCar2">
    <w:name w:val="Sangría de texto normal Car2"/>
    <w:basedOn w:val="Fuentedeprrafopredeter"/>
    <w:uiPriority w:val="99"/>
    <w:semiHidden/>
    <w:rsid w:val="00CB6C2E"/>
    <w:rPr>
      <w:rFonts w:ascii="Arial" w:eastAsia="Arial" w:hAnsi="Arial" w:cs="Arial"/>
      <w:color w:val="000000"/>
      <w:sz w:val="24"/>
    </w:rPr>
  </w:style>
  <w:style w:type="table" w:customStyle="1" w:styleId="Tablaconcuadrcula2">
    <w:name w:val="Tabla con cuadrícula2"/>
    <w:basedOn w:val="Tablanormal"/>
    <w:next w:val="Tablaconcuadrcula"/>
    <w:uiPriority w:val="59"/>
    <w:rsid w:val="0007113A"/>
    <w:pPr>
      <w:widowControl w:val="0"/>
      <w:autoSpaceDE w:val="0"/>
      <w:autoSpaceDN w:val="0"/>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7113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6A6D-3A76-423A-918F-503775A2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1995</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PC</cp:lastModifiedBy>
  <cp:revision>60</cp:revision>
  <cp:lastPrinted>2022-06-07T17:45:00Z</cp:lastPrinted>
  <dcterms:created xsi:type="dcterms:W3CDTF">2022-05-31T14:36:00Z</dcterms:created>
  <dcterms:modified xsi:type="dcterms:W3CDTF">2022-06-29T18:12:00Z</dcterms:modified>
</cp:coreProperties>
</file>